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34950D">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rFonts w:hint="default" w:ascii="Times New Roman Regular" w:hAnsi="Times New Roman Regular" w:cs="Times New Roman Regular"/>
          <w:b/>
          <w:bCs/>
          <w:sz w:val="24"/>
          <w:lang w:val="en-US" w:eastAsia="zh-CN"/>
        </w:rPr>
      </w:pPr>
      <w:r>
        <w:rPr>
          <w:rFonts w:hint="default" w:ascii="Times New Roman Regular" w:hAnsi="Times New Roman Regular" w:cs="Times New Roman Regular"/>
          <w:b/>
          <w:bCs/>
          <w:sz w:val="24"/>
          <w:lang w:val="en-US" w:eastAsia="zh-CN"/>
        </w:rPr>
        <w:t>Appendix</w:t>
      </w:r>
    </w:p>
    <w:p w14:paraId="79B07A6B">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b/>
          <w:bCs/>
          <w:sz w:val="24"/>
          <w:lang w:val="en-US" w:eastAsia="zh-CN"/>
        </w:rPr>
        <w:t>Topic Number Selection for the LDA Model</w:t>
      </w:r>
    </w:p>
    <w:p w14:paraId="1F296A51">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To determine the optimal number of topics, we conducted Latent Dirichlet Allocation (LDA) topic modeling using the sklearn package in Python. Topic number selection was based on a joint assessment of Perplexity and UMass Coherence (see Figure A1). As shown in the figure, Perplexity declined rapidly at lower values of K, but its rate of improvement flattened noticeably between K=20 and K=30, indicating a clear elbow. In contrast, UMass Coherence showed its best local performance around K=22. Taking both model fit and semantic interpretability into account, we selected K=22 as the optimal number of topics for the main analysis.</w:t>
      </w:r>
    </w:p>
    <w:p w14:paraId="29BA4E22">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sz w:val="24"/>
          <w:lang w:val="en-US" w:eastAsia="zh-CN"/>
        </w:rPr>
      </w:pPr>
      <w:r>
        <w:rPr>
          <w:rFonts w:hint="default" w:ascii="Times New Roman Regular" w:hAnsi="Times New Roman Regular" w:cs="Times New Roman Regular"/>
          <w:b/>
          <w:bCs/>
          <w:sz w:val="24"/>
          <w:lang w:val="en-US" w:eastAsia="zh-CN"/>
        </w:rPr>
        <w:t>Figure 1</w:t>
      </w:r>
    </w:p>
    <w:p w14:paraId="6E9CB37C">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b w:val="0"/>
          <w:bCs w:val="0"/>
          <w:i/>
          <w:iCs/>
          <w:sz w:val="24"/>
          <w:lang w:val="en-US" w:eastAsia="zh-CN"/>
        </w:rPr>
        <w:t>Perplexity and UMass Coherence Across Different Numbers of Topics</w:t>
      </w:r>
    </w:p>
    <w:p w14:paraId="2AFC849D">
      <w:pPr>
        <w:keepNext w:val="0"/>
        <w:keepLines w:val="0"/>
        <w:pageBreakBefore w:val="0"/>
        <w:widowControl w:val="0"/>
        <w:kinsoku/>
        <w:wordWrap/>
        <w:overflowPunct/>
        <w:topLinePunct w:val="0"/>
        <w:autoSpaceDE/>
        <w:autoSpaceDN/>
        <w:bidi w:val="0"/>
        <w:adjustRightInd/>
        <w:snapToGrid w:val="0"/>
        <w:spacing w:line="480" w:lineRule="auto"/>
        <w:jc w:val="center"/>
        <w:textAlignment w:val="auto"/>
        <w:rPr>
          <w:rFonts w:hint="eastAsia"/>
          <w:lang w:val="en-US" w:eastAsia="zh-CN"/>
        </w:rPr>
      </w:pPr>
      <w:r>
        <w:rPr>
          <w:rFonts w:hint="eastAsia"/>
          <w:lang w:val="en-US" w:eastAsia="zh-CN"/>
        </w:rPr>
        <w:drawing>
          <wp:inline distT="0" distB="0" distL="114300" distR="114300">
            <wp:extent cx="5207000" cy="1823085"/>
            <wp:effectExtent l="0" t="0" r="0" b="0"/>
            <wp:docPr id="17" name="图片 17" desc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k"/>
                    <pic:cNvPicPr>
                      <a:picLocks noChangeAspect="1"/>
                    </pic:cNvPicPr>
                  </pic:nvPicPr>
                  <pic:blipFill>
                    <a:blip r:embed="rId4"/>
                    <a:srcRect t="6977"/>
                    <a:stretch>
                      <a:fillRect/>
                    </a:stretch>
                  </pic:blipFill>
                  <pic:spPr>
                    <a:xfrm>
                      <a:off x="0" y="0"/>
                      <a:ext cx="5207000" cy="1823085"/>
                    </a:xfrm>
                    <a:prstGeom prst="rect">
                      <a:avLst/>
                    </a:prstGeom>
                  </pic:spPr>
                </pic:pic>
              </a:graphicData>
            </a:graphic>
          </wp:inline>
        </w:drawing>
      </w:r>
    </w:p>
    <w:p w14:paraId="685D3440">
      <w:pPr>
        <w:keepNext w:val="0"/>
        <w:keepLines w:val="0"/>
        <w:pageBreakBefore w:val="0"/>
        <w:widowControl w:val="0"/>
        <w:numPr>
          <w:ilvl w:val="0"/>
          <w:numId w:val="0"/>
        </w:numPr>
        <w:kinsoku/>
        <w:wordWrap/>
        <w:overflowPunct/>
        <w:topLinePunct w:val="0"/>
        <w:autoSpaceDE/>
        <w:autoSpaceDN/>
        <w:bidi w:val="0"/>
        <w:adjustRightInd/>
        <w:snapToGrid w:val="0"/>
        <w:spacing w:line="260" w:lineRule="auto"/>
        <w:textAlignment w:val="auto"/>
        <w:rPr>
          <w:rFonts w:hint="default" w:ascii="Times New Roman" w:hAnsi="Times New Roman" w:cs="Times New Roman"/>
          <w:sz w:val="24"/>
          <w:szCs w:val="24"/>
          <w:lang w:val="en-US" w:eastAsia="zh-CN"/>
        </w:rPr>
      </w:pPr>
      <w:r>
        <w:rPr>
          <w:rFonts w:hint="default" w:ascii="Times New Roman" w:hAnsi="Times New Roman" w:cs="Times New Roman"/>
          <w:i/>
          <w:iCs/>
          <w:sz w:val="24"/>
          <w:szCs w:val="24"/>
          <w:lang w:val="en-US" w:eastAsia="zh-CN"/>
        </w:rPr>
        <w:t xml:space="preserve">Note. </w:t>
      </w:r>
      <w:r>
        <w:rPr>
          <w:rFonts w:hint="default" w:ascii="Times New Roman" w:hAnsi="Times New Roman" w:cs="Times New Roman"/>
          <w:i w:val="0"/>
          <w:iCs w:val="0"/>
          <w:sz w:val="24"/>
          <w:szCs w:val="24"/>
          <w:lang w:val="en-US" w:eastAsia="zh-CN"/>
        </w:rPr>
        <w:t>The left panel shows Perplexity scores, where lower values indicate better model fit. The right panel shows average UMass Coherence scores, where higher values indicate better semantic coherence. The final topic number was selected by jointly considering both indicators and choosing a solution that balanced statistical fit with interpretability.</w:t>
      </w:r>
    </w:p>
    <w:p w14:paraId="54BD61ED">
      <w:pPr>
        <w:rPr>
          <w:rFonts w:hint="default" w:ascii="Times New Roman" w:hAnsi="Times New Roman" w:cs="Times New Roman"/>
          <w:sz w:val="24"/>
          <w:szCs w:val="24"/>
          <w:lang w:val="en-US" w:eastAsia="zh-CN"/>
        </w:rPr>
      </w:pPr>
    </w:p>
    <w:p w14:paraId="0E143E33">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b/>
          <w:bCs/>
          <w:sz w:val="24"/>
          <w:lang w:val="en-US" w:eastAsia="zh-CN"/>
        </w:rPr>
        <w:t>Formula Definitions for Dynamic Frame Relation Analysis</w:t>
      </w:r>
    </w:p>
    <w:p w14:paraId="13A9BC70">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All indicators in the dynamic frame relation analysis were calculated from the annual topic similarity networks and the fixed-block frame aggregation results.</w:t>
      </w:r>
    </w:p>
    <w:p w14:paraId="56A7D2BD">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i/>
          <w:iCs/>
          <w:sz w:val="24"/>
          <w:lang w:val="en-US" w:eastAsia="zh-CN"/>
        </w:rPr>
      </w:pPr>
      <w:r>
        <w:rPr>
          <w:rFonts w:hint="default" w:ascii="Times New Roman Regular" w:hAnsi="Times New Roman Regular" w:cs="Times New Roman Regular"/>
          <w:b/>
          <w:bCs/>
          <w:i/>
          <w:iCs/>
          <w:sz w:val="24"/>
          <w:lang w:val="en-US" w:eastAsia="zh-CN"/>
        </w:rPr>
        <w:t>Frame Salience</w:t>
      </w:r>
    </w:p>
    <w:p w14:paraId="3F1097DF">
      <w:pPr>
        <w:spacing w:after="60"/>
        <w:jc w:val="center"/>
        <w:rPr>
          <w:rFonts w:hint="default" w:ascii="Times New Roman Regular" w:hAnsi="Times New Roman Regular" w:cs="Times New Roman Regular"/>
          <w:b/>
          <w:bCs/>
          <w:i/>
          <w:iCs/>
          <w:sz w:val="24"/>
          <w:lang w:val="en-US" w:eastAsia="zh-CN"/>
        </w:rPr>
      </w:pPr>
      <m:oMathPara>
        <m:oMath>
          <m:r>
            <m:rPr/>
            <w:rPr>
              <w:rFonts w:hint="default" w:ascii="Cambria Math" w:hAnsi="Cambria Math"/>
              <w:sz w:val="24"/>
            </w:rPr>
            <m:t>Salienc</m:t>
          </m:r>
          <m:sSub>
            <m:sSubPr>
              <m:ctrlPr>
                <w:rPr>
                  <w:rFonts w:hint="default" w:ascii="Cambria Math" w:hAnsi="Cambria Math"/>
                  <w:sz w:val="24"/>
                </w:rPr>
              </m:ctrlPr>
            </m:sSubPr>
            <m:e>
              <m:r>
                <m:rPr/>
                <w:rPr>
                  <w:rFonts w:hint="default" w:ascii="Cambria Math" w:hAnsi="Cambria Math"/>
                  <w:sz w:val="24"/>
                </w:rPr>
                <m:t>e</m:t>
              </m:r>
              <m:ctrlPr>
                <w:rPr>
                  <w:rFonts w:ascii="Cambria Math" w:hAnsi="Cambria Math"/>
                  <w:sz w:val="24"/>
                </w:rPr>
              </m:ctrlPr>
            </m:e>
            <m:sub>
              <m:r>
                <m:rPr/>
                <w:rPr>
                  <w:rFonts w:hint="default" w:ascii="Cambria Math" w:hAnsi="Cambria Math"/>
                  <w:sz w:val="24"/>
                </w:rPr>
                <m:t>F,t</m:t>
              </m:r>
              <m:ctrlPr>
                <w:rPr>
                  <w:rFonts w:ascii="Cambria Math" w:hAnsi="Cambria Math"/>
                  <w:sz w:val="24"/>
                </w:rPr>
              </m:ctrlPr>
            </m:sub>
          </m:sSub>
          <m:r>
            <m:rPr/>
            <w:rPr>
              <w:rFonts w:hint="default" w:ascii="Cambria Math" w:hAnsi="Cambria Math"/>
              <w:sz w:val="24"/>
            </w:rPr>
            <m:t>=</m:t>
          </m:r>
          <m:f>
            <m:fPr>
              <m:ctrlPr>
                <w:rPr>
                  <w:rFonts w:hint="default" w:ascii="Cambria Math" w:hAnsi="Cambria Math"/>
                  <w:i/>
                  <w:sz w:val="24"/>
                </w:rPr>
              </m:ctrlPr>
            </m:fPr>
            <m:num>
              <m:r>
                <m:rPr/>
                <w:rPr>
                  <w:rFonts w:hint="default" w:ascii="Cambria Math" w:hAnsi="Cambria Math"/>
                  <w:sz w:val="24"/>
                </w:rPr>
                <m:t>1</m:t>
              </m:r>
              <m:ctrlPr>
                <w:rPr>
                  <w:rFonts w:ascii="Cambria Math" w:hAnsi="Cambria Math"/>
                  <w:sz w:val="24"/>
                </w:rPr>
              </m:ctrlPr>
            </m:num>
            <m:den>
              <m:sSub>
                <m:sSubPr>
                  <m:ctrlPr>
                    <w:rPr>
                      <w:rFonts w:hint="default" w:ascii="Cambria Math" w:hAnsi="Cambria Math"/>
                      <w:sz w:val="24"/>
                    </w:rPr>
                  </m:ctrlPr>
                </m:sSubPr>
                <m:e>
                  <m:r>
                    <m:rPr/>
                    <w:rPr>
                      <w:rFonts w:hint="default" w:ascii="Cambria Math" w:hAnsi="Cambria Math"/>
                      <w:sz w:val="24"/>
                    </w:rPr>
                    <m:t>N</m:t>
                  </m:r>
                  <m:ctrlPr>
                    <w:rPr>
                      <w:rFonts w:ascii="Cambria Math" w:hAnsi="Cambria Math"/>
                      <w:sz w:val="24"/>
                    </w:rPr>
                  </m:ctrlPr>
                </m:e>
                <m:sub>
                  <m:r>
                    <m:rPr/>
                    <w:rPr>
                      <w:rFonts w:hint="default" w:ascii="Cambria Math" w:hAnsi="Cambria Math"/>
                      <w:sz w:val="24"/>
                    </w:rPr>
                    <m:t>t</m:t>
                  </m:r>
                  <m:ctrlPr>
                    <w:rPr>
                      <w:rFonts w:ascii="Cambria Math" w:hAnsi="Cambria Math"/>
                      <w:sz w:val="24"/>
                    </w:rPr>
                  </m:ctrlPr>
                </m:sub>
              </m:sSub>
              <m:ctrlPr>
                <w:rPr>
                  <w:rFonts w:hint="default" w:ascii="Cambria Math" w:hAnsi="Cambria Math"/>
                  <w:sz w:val="24"/>
                </w:rPr>
              </m:ctrlPr>
            </m:den>
          </m:f>
          <m:nary>
            <m:naryPr>
              <m:chr m:val="∑"/>
              <m:limLoc m:val="undOvr"/>
              <m:supHide m:val="1"/>
              <m:ctrlPr>
                <w:rPr>
                  <w:rFonts w:hint="default" w:ascii="Cambria Math" w:hAnsi="Cambria Math"/>
                  <w:i/>
                  <w:sz w:val="24"/>
                </w:rPr>
              </m:ctrlPr>
            </m:naryPr>
            <m:sub>
              <m:r>
                <m:rPr/>
                <w:rPr>
                  <w:rFonts w:hint="default" w:ascii="Cambria Math" w:hAnsi="Cambria Math"/>
                  <w:sz w:val="24"/>
                </w:rPr>
                <m:t>d∈</m:t>
              </m:r>
              <m:sSub>
                <m:sSubPr>
                  <m:ctrlPr>
                    <w:rPr>
                      <w:rFonts w:hint="default" w:ascii="Cambria Math" w:hAnsi="Cambria Math"/>
                      <w:sz w:val="24"/>
                    </w:rPr>
                  </m:ctrlPr>
                </m:sSubPr>
                <m:e>
                  <m:r>
                    <m:rPr/>
                    <w:rPr>
                      <w:rFonts w:hint="default" w:ascii="Cambria Math" w:hAnsi="Cambria Math"/>
                      <w:sz w:val="24"/>
                    </w:rPr>
                    <m:t>D</m:t>
                  </m:r>
                  <m:ctrlPr>
                    <w:rPr>
                      <w:rFonts w:ascii="Cambria Math" w:hAnsi="Cambria Math"/>
                      <w:sz w:val="24"/>
                    </w:rPr>
                  </m:ctrlPr>
                </m:e>
                <m:sub>
                  <m:r>
                    <m:rPr/>
                    <w:rPr>
                      <w:rFonts w:hint="default" w:ascii="Cambria Math" w:hAnsi="Cambria Math"/>
                      <w:sz w:val="24"/>
                    </w:rPr>
                    <m:t>t</m:t>
                  </m:r>
                  <m:ctrlPr>
                    <w:rPr>
                      <w:rFonts w:ascii="Cambria Math" w:hAnsi="Cambria Math"/>
                      <w:sz w:val="24"/>
                    </w:rPr>
                  </m:ctrlPr>
                </m:sub>
              </m:sSub>
              <m:ctrlPr>
                <w:rPr>
                  <w:rFonts w:hint="default" w:ascii="Cambria Math" w:hAnsi="Cambria Math"/>
                  <w:sz w:val="24"/>
                </w:rPr>
              </m:ctrlPr>
            </m:sub>
            <m:sup>
              <m:ctrlPr>
                <w:rPr>
                  <w:rFonts w:hint="default" w:ascii="Cambria Math" w:hAnsi="Cambria Math"/>
                  <w:sz w:val="24"/>
                </w:rPr>
              </m:ctrlPr>
            </m:sup>
            <m:e>
              <m:nary>
                <m:naryPr>
                  <m:chr m:val="∑"/>
                  <m:limLoc m:val="undOvr"/>
                  <m:supHide m:val="1"/>
                  <m:ctrlPr>
                    <w:rPr>
                      <w:rFonts w:hint="default" w:ascii="Cambria Math" w:hAnsi="Cambria Math"/>
                      <w:i/>
                      <w:sz w:val="24"/>
                    </w:rPr>
                  </m:ctrlPr>
                </m:naryPr>
                <m:sub>
                  <m:r>
                    <m:rPr/>
                    <w:rPr>
                      <w:rFonts w:hint="default" w:ascii="Cambria Math" w:hAnsi="Cambria Math"/>
                      <w:sz w:val="24"/>
                    </w:rPr>
                    <m:t>k∈</m:t>
                  </m:r>
                  <m:sSub>
                    <m:sSubPr>
                      <m:ctrlPr>
                        <w:rPr>
                          <w:rFonts w:hint="default" w:ascii="Cambria Math" w:hAnsi="Cambria Math"/>
                          <w:sz w:val="24"/>
                        </w:rPr>
                      </m:ctrlPr>
                    </m:sSubPr>
                    <m:e>
                      <m:r>
                        <m:rPr/>
                        <w:rPr>
                          <w:rFonts w:hint="default" w:ascii="Cambria Math" w:hAnsi="Cambria Math"/>
                          <w:sz w:val="24"/>
                        </w:rPr>
                        <m:t>T</m:t>
                      </m:r>
                      <m:ctrlPr>
                        <w:rPr>
                          <w:rFonts w:ascii="Cambria Math" w:hAnsi="Cambria Math"/>
                          <w:sz w:val="24"/>
                        </w:rPr>
                      </m:ctrlPr>
                    </m:e>
                    <m:sub>
                      <m:r>
                        <m:rPr/>
                        <w:rPr>
                          <w:rFonts w:hint="default" w:ascii="Cambria Math" w:hAnsi="Cambria Math"/>
                          <w:sz w:val="24"/>
                        </w:rPr>
                        <m:t>F</m:t>
                      </m:r>
                      <m:ctrlPr>
                        <w:rPr>
                          <w:rFonts w:ascii="Cambria Math" w:hAnsi="Cambria Math"/>
                          <w:sz w:val="24"/>
                        </w:rPr>
                      </m:ctrlPr>
                    </m:sub>
                  </m:sSub>
                  <m:ctrlPr>
                    <w:rPr>
                      <w:rFonts w:hint="default" w:ascii="Cambria Math" w:hAnsi="Cambria Math"/>
                      <w:sz w:val="24"/>
                    </w:rPr>
                  </m:ctrlPr>
                </m:sub>
                <m:sup>
                  <m:ctrlPr>
                    <w:rPr>
                      <w:rFonts w:hint="default" w:ascii="Cambria Math" w:hAnsi="Cambria Math"/>
                      <w:sz w:val="24"/>
                    </w:rPr>
                  </m:ctrlPr>
                </m:sup>
                <m:e>
                  <m:sSub>
                    <m:sSubPr>
                      <m:ctrlPr>
                        <w:rPr>
                          <w:rFonts w:hint="default" w:ascii="Cambria Math" w:hAnsi="Cambria Math"/>
                          <w:sz w:val="24"/>
                        </w:rPr>
                      </m:ctrlPr>
                    </m:sSubPr>
                    <m:e>
                      <m:r>
                        <m:rPr/>
                        <w:rPr>
                          <w:rFonts w:hint="default" w:ascii="Cambria Math" w:hAnsi="Cambria Math"/>
                          <w:sz w:val="24"/>
                        </w:rPr>
                        <m:t>θ</m:t>
                      </m:r>
                      <m:ctrlPr>
                        <w:rPr>
                          <w:rFonts w:ascii="Cambria Math" w:hAnsi="Cambria Math"/>
                          <w:sz w:val="24"/>
                        </w:rPr>
                      </m:ctrlPr>
                    </m:e>
                    <m:sub>
                      <m:r>
                        <m:rPr/>
                        <w:rPr>
                          <w:rFonts w:hint="default" w:ascii="Cambria Math" w:hAnsi="Cambria Math"/>
                          <w:sz w:val="24"/>
                        </w:rPr>
                        <m:t>d,k</m:t>
                      </m:r>
                      <m:ctrlPr>
                        <w:rPr>
                          <w:rFonts w:ascii="Cambria Math" w:hAnsi="Cambria Math"/>
                          <w:sz w:val="24"/>
                        </w:rPr>
                      </m:ctrlPr>
                    </m:sub>
                  </m:sSub>
                  <m:ctrlPr>
                    <w:rPr>
                      <w:rFonts w:hint="default" w:ascii="Cambria Math" w:hAnsi="Cambria Math"/>
                      <w:sz w:val="24"/>
                    </w:rPr>
                  </m:ctrlPr>
                </m:e>
              </m:nary>
              <m:ctrlPr>
                <w:rPr>
                  <w:rFonts w:hint="default" w:ascii="Cambria Math" w:hAnsi="Cambria Math"/>
                  <w:i/>
                  <w:sz w:val="24"/>
                </w:rPr>
              </m:ctrlPr>
            </m:e>
          </m:nary>
        </m:oMath>
      </m:oMathPara>
    </w:p>
    <w:p w14:paraId="7670870F">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eastAsia" w:ascii="Times New Roman Regular" w:hAnsi="Times New Roman Regular" w:cs="Times New Roman Regular"/>
          <w:sz w:val="24"/>
          <w:lang w:val="en-US" w:eastAsia="zh-CN"/>
        </w:rPr>
      </w:pPr>
      <w:r>
        <w:rPr>
          <w:rFonts w:hint="eastAsia" w:ascii="Times New Roman Regular" w:hAnsi="Times New Roman Regular" w:cs="Times New Roman Regular"/>
          <w:sz w:val="24"/>
          <w:lang w:val="en-US" w:eastAsia="zh-CN"/>
        </w:rPr>
        <w:t>Frame salience measures the average prominence of frame F in year t. For each news article, the probabilities of all topics belonging to the same frame are first summed. These frame-level values are then averaged across all articles published in that year. Higher values indicate that the frame occupied a larger share of the annual communication agenda.</w:t>
      </w:r>
      <w:bookmarkStart w:id="0" w:name="_GoBack"/>
      <w:bookmarkEnd w:id="0"/>
    </w:p>
    <w:p w14:paraId="7C8C1AE8">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i/>
          <w:iCs/>
          <w:sz w:val="24"/>
          <w:lang w:val="en-US" w:eastAsia="zh-CN"/>
        </w:rPr>
      </w:pPr>
      <w:r>
        <w:rPr>
          <w:rFonts w:hint="default" w:ascii="Times New Roman Regular" w:hAnsi="Times New Roman Regular" w:cs="Times New Roman Regular"/>
          <w:b/>
          <w:bCs/>
          <w:i/>
          <w:iCs/>
          <w:sz w:val="24"/>
          <w:lang w:val="en-US" w:eastAsia="zh-CN"/>
        </w:rPr>
        <w:t>Within-frame Cohesion</w:t>
      </w:r>
    </w:p>
    <w:p w14:paraId="2CE1E352">
      <w:pPr>
        <w:spacing w:after="60"/>
        <w:jc w:val="center"/>
        <w:rPr>
          <w:rFonts w:hint="default" w:ascii="Times New Roman Regular" w:hAnsi="Times New Roman Regular" w:cs="Times New Roman Regular"/>
          <w:sz w:val="24"/>
          <w:lang w:val="en-US" w:eastAsia="zh-CN"/>
        </w:rPr>
      </w:pPr>
      <m:oMathPara>
        <m:oMath>
          <m:m>
            <m:mPr>
              <m:mcs>
                <m:mc>
                  <m:mcPr>
                    <m:count m:val="1"/>
                    <m:mcJc m:val="center"/>
                  </m:mcPr>
                </m:mc>
              </m:mcs>
              <m:plcHide m:val="1"/>
              <m:ctrlPr>
                <w:rPr>
                  <w:rFonts w:hint="default" w:ascii="Cambria Math" w:hAnsi="Cambria Math" w:eastAsia="宋体"/>
                  <w:i/>
                  <w:sz w:val="24"/>
                </w:rPr>
              </m:ctrlPr>
            </m:mPr>
            <m:mr>
              <m:e>
                <m:sSub>
                  <m:sSubPr>
                    <m:ctrlPr>
                      <w:rPr>
                        <w:rFonts w:hint="default" w:ascii="Cambria Math" w:hAnsi="Cambria Math" w:eastAsia="宋体"/>
                        <w:sz w:val="24"/>
                      </w:rPr>
                    </m:ctrlPr>
                  </m:sSubPr>
                  <m:e>
                    <m:r>
                      <m:rPr>
                        <m:sty m:val="p"/>
                      </m:rPr>
                      <w:rPr>
                        <w:rFonts w:hint="default" w:ascii="Cambria Math" w:hAnsi="Cambria Math" w:eastAsia="宋体"/>
                        <w:sz w:val="24"/>
                      </w:rPr>
                      <m:t>Cohesion</m:t>
                    </m:r>
                    <m:ctrlPr>
                      <w:rPr>
                        <w:rFonts w:ascii="Cambria Math" w:hAnsi="Cambria Math" w:eastAsia="宋体"/>
                        <w:sz w:val="24"/>
                      </w:rPr>
                    </m:ctrlPr>
                  </m:e>
                  <m:sub>
                    <m:r>
                      <m:rPr/>
                      <w:rPr>
                        <w:rFonts w:hint="default" w:ascii="Cambria Math" w:hAnsi="Cambria Math" w:eastAsia="宋体"/>
                        <w:sz w:val="24"/>
                      </w:rPr>
                      <m:t>F,t</m:t>
                    </m:r>
                    <m:ctrlPr>
                      <w:rPr>
                        <w:rFonts w:ascii="Cambria Math" w:hAnsi="Cambria Math" w:eastAsia="宋体"/>
                        <w:sz w:val="24"/>
                      </w:rPr>
                    </m:ctrlPr>
                  </m:sub>
                </m:sSub>
                <m:r>
                  <m:rPr/>
                  <w:rPr>
                    <w:rFonts w:hint="default" w:ascii="Cambria Math" w:hAnsi="Cambria Math" w:eastAsia="宋体"/>
                    <w:sz w:val="24"/>
                  </w:rPr>
                  <m:t>=</m:t>
                </m:r>
                <m:f>
                  <m:fPr>
                    <m:ctrlPr>
                      <w:rPr>
                        <w:rFonts w:hint="default" w:ascii="Cambria Math" w:hAnsi="Cambria Math" w:eastAsia="宋体"/>
                        <w:i/>
                        <w:sz w:val="24"/>
                      </w:rPr>
                    </m:ctrlPr>
                  </m:fPr>
                  <m:num>
                    <m:r>
                      <m:rPr/>
                      <w:rPr>
                        <w:rFonts w:hint="default" w:ascii="Cambria Math" w:hAnsi="Cambria Math" w:eastAsia="宋体"/>
                        <w:sz w:val="24"/>
                      </w:rPr>
                      <m:t>1</m:t>
                    </m:r>
                    <m:ctrlPr>
                      <w:rPr>
                        <w:rFonts w:ascii="Cambria Math" w:hAnsi="Cambria Math" w:eastAsia="宋体"/>
                        <w:sz w:val="24"/>
                      </w:rPr>
                    </m:ctrlPr>
                  </m:num>
                  <m:den>
                    <m:d>
                      <m:dPr>
                        <m:ctrlPr>
                          <w:rPr>
                            <w:rFonts w:hint="default" w:ascii="Cambria Math" w:hAnsi="Cambria Math" w:eastAsia="宋体"/>
                            <w:i/>
                            <w:sz w:val="24"/>
                          </w:rPr>
                        </m:ctrlPr>
                      </m:dPr>
                      <m:e>
                        <m:f>
                          <m:fPr>
                            <m:ctrlPr>
                              <w:rPr>
                                <w:rFonts w:hint="default" w:ascii="Cambria Math" w:hAnsi="Cambria Math" w:eastAsia="宋体"/>
                                <w:i/>
                                <w:sz w:val="24"/>
                              </w:rPr>
                            </m:ctrlPr>
                          </m:fPr>
                          <m:num>
                            <m:r>
                              <m:rPr/>
                              <w:rPr>
                                <w:rFonts w:hint="default" w:ascii="Cambria Math" w:hAnsi="Cambria Math" w:eastAsia="宋体"/>
                                <w:sz w:val="24"/>
                              </w:rPr>
                              <m:t>|</m:t>
                            </m:r>
                            <m:sSub>
                              <m:sSubPr>
                                <m:ctrlPr>
                                  <w:rPr>
                                    <w:rFonts w:hint="default" w:ascii="Cambria Math" w:hAnsi="Cambria Math" w:eastAsia="宋体"/>
                                    <w:sz w:val="24"/>
                                  </w:rPr>
                                </m:ctrlPr>
                              </m:sSubPr>
                              <m:e>
                                <m:r>
                                  <m:rPr/>
                                  <w:rPr>
                                    <w:rFonts w:hint="default" w:ascii="Cambria Math" w:hAnsi="Cambria Math" w:eastAsia="宋体"/>
                                    <w:sz w:val="24"/>
                                  </w:rPr>
                                  <m:t>T</m:t>
                                </m:r>
                                <m:ctrlPr>
                                  <w:rPr>
                                    <w:rFonts w:ascii="Cambria Math" w:hAnsi="Cambria Math" w:eastAsia="宋体"/>
                                    <w:sz w:val="24"/>
                                  </w:rPr>
                                </m:ctrlPr>
                              </m:e>
                              <m:sub>
                                <m:r>
                                  <m:rPr/>
                                  <w:rPr>
                                    <w:rFonts w:hint="default" w:ascii="Cambria Math" w:hAnsi="Cambria Math" w:eastAsia="宋体"/>
                                    <w:sz w:val="24"/>
                                  </w:rPr>
                                  <m:t>F</m:t>
                                </m:r>
                                <m:ctrlPr>
                                  <w:rPr>
                                    <w:rFonts w:ascii="Cambria Math" w:hAnsi="Cambria Math" w:eastAsia="宋体"/>
                                    <w:sz w:val="24"/>
                                  </w:rPr>
                                </m:ctrlPr>
                              </m:sub>
                            </m:sSub>
                            <m:r>
                              <m:rPr/>
                              <w:rPr>
                                <w:rFonts w:hint="default" w:ascii="Cambria Math" w:hAnsi="Cambria Math" w:eastAsia="宋体"/>
                                <w:sz w:val="24"/>
                              </w:rPr>
                              <m:t>|</m:t>
                            </m:r>
                            <m:ctrlPr>
                              <w:rPr>
                                <w:rFonts w:hint="default" w:ascii="Cambria Math" w:hAnsi="Cambria Math" w:eastAsia="宋体"/>
                                <w:sz w:val="24"/>
                              </w:rPr>
                            </m:ctrlPr>
                          </m:num>
                          <m:den>
                            <m:r>
                              <m:rPr/>
                              <w:rPr>
                                <w:rFonts w:hint="default" w:ascii="Cambria Math" w:hAnsi="Cambria Math" w:eastAsia="宋体"/>
                                <w:sz w:val="24"/>
                              </w:rPr>
                              <m:t>2</m:t>
                            </m:r>
                            <m:ctrlPr>
                              <w:rPr>
                                <w:rFonts w:hint="default" w:ascii="Cambria Math" w:hAnsi="Cambria Math" w:eastAsia="宋体"/>
                                <w:sz w:val="24"/>
                              </w:rPr>
                            </m:ctrlPr>
                          </m:den>
                        </m:f>
                        <m:ctrlPr>
                          <w:rPr>
                            <w:rFonts w:hint="default" w:ascii="Cambria Math" w:hAnsi="Cambria Math" w:eastAsia="宋体"/>
                            <w:i/>
                            <w:sz w:val="24"/>
                          </w:rPr>
                        </m:ctrlPr>
                      </m:e>
                    </m:d>
                    <m:ctrlPr>
                      <w:rPr>
                        <w:rFonts w:hint="default" w:ascii="Cambria Math" w:hAnsi="Cambria Math" w:eastAsia="宋体"/>
                        <w:i/>
                        <w:sz w:val="24"/>
                      </w:rPr>
                    </m:ctrlPr>
                  </m:den>
                </m:f>
                <m:nary>
                  <m:naryPr>
                    <m:chr m:val="∑"/>
                    <m:limLoc m:val="undOvr"/>
                    <m:supHide m:val="1"/>
                    <m:ctrlPr>
                      <w:rPr>
                        <w:rFonts w:hint="default" w:ascii="Cambria Math" w:hAnsi="Cambria Math" w:eastAsia="宋体"/>
                        <w:i/>
                        <w:sz w:val="24"/>
                      </w:rPr>
                    </m:ctrlPr>
                  </m:naryPr>
                  <m:sub>
                    <m:eqArr>
                      <m:eqArrPr>
                        <m:ctrlPr>
                          <w:rPr>
                            <w:rFonts w:hint="default" w:ascii="Cambria Math" w:hAnsi="Cambria Math" w:eastAsia="宋体"/>
                            <w:i/>
                            <w:sz w:val="24"/>
                          </w:rPr>
                        </m:ctrlPr>
                      </m:eqArrPr>
                      <m:e>
                        <m:r>
                          <m:rPr/>
                          <w:rPr>
                            <w:rFonts w:hint="default" w:ascii="Cambria Math" w:hAnsi="Cambria Math" w:eastAsia="宋体"/>
                            <w:sz w:val="24"/>
                          </w:rPr>
                          <m:t>i&lt;j</m:t>
                        </m:r>
                        <m:ctrlPr>
                          <w:rPr>
                            <w:rFonts w:hint="default" w:ascii="Cambria Math" w:hAnsi="Cambria Math" w:eastAsia="宋体"/>
                            <w:i/>
                            <w:sz w:val="24"/>
                          </w:rPr>
                        </m:ctrlPr>
                      </m:e>
                      <m:e>
                        <m:r>
                          <m:rPr/>
                          <w:rPr>
                            <w:rFonts w:hint="default" w:ascii="Cambria Math" w:hAnsi="Cambria Math" w:eastAsia="宋体"/>
                            <w:sz w:val="24"/>
                          </w:rPr>
                          <m:t>i,j∈</m:t>
                        </m:r>
                        <m:sSub>
                          <m:sSubPr>
                            <m:ctrlPr>
                              <w:rPr>
                                <w:rFonts w:hint="default" w:ascii="Cambria Math" w:hAnsi="Cambria Math" w:eastAsia="宋体"/>
                                <w:sz w:val="24"/>
                              </w:rPr>
                            </m:ctrlPr>
                          </m:sSubPr>
                          <m:e>
                            <m:r>
                              <m:rPr/>
                              <w:rPr>
                                <w:rFonts w:hint="default" w:ascii="Cambria Math" w:hAnsi="Cambria Math" w:eastAsia="宋体"/>
                                <w:sz w:val="24"/>
                              </w:rPr>
                              <m:t>T</m:t>
                            </m:r>
                            <m:ctrlPr>
                              <w:rPr>
                                <w:rFonts w:hint="default" w:ascii="Cambria Math" w:hAnsi="Cambria Math" w:eastAsia="宋体"/>
                                <w:i/>
                                <w:sz w:val="24"/>
                              </w:rPr>
                            </m:ctrlPr>
                          </m:e>
                          <m:sub>
                            <m:r>
                              <m:rPr/>
                              <w:rPr>
                                <w:rFonts w:hint="default" w:ascii="Cambria Math" w:hAnsi="Cambria Math" w:eastAsia="宋体"/>
                                <w:sz w:val="24"/>
                              </w:rPr>
                              <m:t>F</m:t>
                            </m:r>
                            <m:ctrlPr>
                              <w:rPr>
                                <w:rFonts w:hint="default" w:ascii="Cambria Math" w:hAnsi="Cambria Math" w:eastAsia="宋体"/>
                                <w:i/>
                                <w:sz w:val="24"/>
                              </w:rPr>
                            </m:ctrlPr>
                          </m:sub>
                        </m:sSub>
                        <m:ctrlPr>
                          <w:rPr>
                            <w:rFonts w:hint="default" w:ascii="Cambria Math" w:hAnsi="Cambria Math" w:eastAsia="宋体"/>
                            <w:sz w:val="24"/>
                          </w:rPr>
                        </m:ctrlPr>
                      </m:e>
                    </m:eqArr>
                    <m:ctrlPr>
                      <w:rPr>
                        <w:rFonts w:hint="default" w:ascii="Cambria Math" w:hAnsi="Cambria Math" w:eastAsia="宋体"/>
                        <w:i/>
                        <w:sz w:val="24"/>
                      </w:rPr>
                    </m:ctrlPr>
                  </m:sub>
                  <m:sup>
                    <m:ctrlPr>
                      <w:rPr>
                        <w:rFonts w:hint="default" w:ascii="Cambria Math" w:hAnsi="Cambria Math" w:eastAsia="宋体"/>
                        <w:sz w:val="24"/>
                      </w:rPr>
                    </m:ctrlPr>
                  </m:sup>
                  <m:e>
                    <m:sSubSup>
                      <m:sSubSupPr>
                        <m:ctrlPr>
                          <w:rPr>
                            <w:rFonts w:hint="default" w:ascii="Cambria Math" w:hAnsi="Cambria Math" w:eastAsia="宋体"/>
                            <w:sz w:val="24"/>
                          </w:rPr>
                        </m:ctrlPr>
                      </m:sSubSupPr>
                      <m:e>
                        <m:r>
                          <m:rPr/>
                          <w:rPr>
                            <w:rFonts w:hint="default" w:ascii="Cambria Math" w:hAnsi="Cambria Math" w:eastAsia="宋体"/>
                            <w:sz w:val="24"/>
                          </w:rPr>
                          <m:t>c</m:t>
                        </m:r>
                        <m:ctrlPr>
                          <w:rPr>
                            <w:rFonts w:hint="default" w:ascii="Cambria Math" w:hAnsi="Cambria Math" w:eastAsia="宋体"/>
                            <w:i/>
                            <w:sz w:val="24"/>
                          </w:rPr>
                        </m:ctrlPr>
                      </m:e>
                      <m:sub>
                        <m:r>
                          <m:rPr/>
                          <w:rPr>
                            <w:rFonts w:hint="default" w:ascii="Cambria Math" w:hAnsi="Cambria Math" w:eastAsia="宋体"/>
                            <w:sz w:val="24"/>
                          </w:rPr>
                          <m:t>ij</m:t>
                        </m:r>
                        <m:ctrlPr>
                          <w:rPr>
                            <w:rFonts w:hint="default" w:ascii="Cambria Math" w:hAnsi="Cambria Math" w:eastAsia="宋体"/>
                            <w:i/>
                            <w:sz w:val="24"/>
                          </w:rPr>
                        </m:ctrlPr>
                      </m:sub>
                      <m:sup>
                        <m:r>
                          <m:rPr/>
                          <w:rPr>
                            <w:rFonts w:hint="default" w:ascii="Cambria Math" w:hAnsi="Cambria Math" w:eastAsia="宋体"/>
                            <w:sz w:val="24"/>
                          </w:rPr>
                          <m:t>(t)</m:t>
                        </m:r>
                        <m:ctrlPr>
                          <w:rPr>
                            <w:rFonts w:hint="default" w:ascii="Cambria Math" w:hAnsi="Cambria Math" w:eastAsia="宋体"/>
                            <w:i/>
                            <w:sz w:val="24"/>
                          </w:rPr>
                        </m:ctrlPr>
                      </m:sup>
                    </m:sSubSup>
                    <m:ctrlPr>
                      <w:rPr>
                        <w:rFonts w:hint="default" w:ascii="Cambria Math" w:hAnsi="Cambria Math" w:eastAsia="宋体"/>
                        <w:sz w:val="24"/>
                      </w:rPr>
                    </m:ctrlPr>
                  </m:e>
                </m:nary>
                <m:ctrlPr>
                  <w:rPr>
                    <w:rFonts w:hint="default" w:ascii="Cambria Math" w:hAnsi="Cambria Math" w:eastAsia="宋体"/>
                    <w:i/>
                    <w:sz w:val="24"/>
                  </w:rPr>
                </m:ctrlPr>
              </m:e>
            </m:mr>
          </m:m>
        </m:oMath>
      </m:oMathPara>
    </w:p>
    <w:p w14:paraId="379998C9">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Within-frame cohesion measures the average cosine similarity among topics within frame F in year t. The denominator represents the number of unique topic pairs within the frame. Higher values indicate stronger internal connections among topics and a more coherent frame structure.</w:t>
      </w:r>
    </w:p>
    <w:p w14:paraId="5B2E8B84">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i/>
          <w:iCs/>
          <w:sz w:val="24"/>
          <w:lang w:val="en-US" w:eastAsia="zh-CN"/>
        </w:rPr>
      </w:pPr>
      <w:r>
        <w:rPr>
          <w:rFonts w:hint="default" w:ascii="Times New Roman Regular" w:hAnsi="Times New Roman Regular" w:cs="Times New Roman Regular"/>
          <w:b/>
          <w:bCs/>
          <w:i/>
          <w:iCs/>
          <w:sz w:val="24"/>
          <w:lang w:val="en-US" w:eastAsia="zh-CN"/>
        </w:rPr>
        <w:t>Between-frame Coupling</w:t>
      </w:r>
    </w:p>
    <w:p w14:paraId="4A54999F">
      <w:pPr>
        <w:spacing w:after="60"/>
        <w:jc w:val="center"/>
        <w:rPr>
          <w:rFonts w:hint="default" w:ascii="Times New Roman Regular" w:hAnsi="Times New Roman Regular" w:cs="Times New Roman Regular"/>
          <w:sz w:val="24"/>
          <w:lang w:val="en-US" w:eastAsia="zh-CN"/>
        </w:rPr>
      </w:pPr>
      <m:oMathPara>
        <m:oMath>
          <m:m>
            <m:mPr>
              <m:mcs>
                <m:mc>
                  <m:mcPr>
                    <m:count m:val="1"/>
                    <m:mcJc m:val="center"/>
                  </m:mcPr>
                </m:mc>
              </m:mcs>
              <m:plcHide m:val="1"/>
              <m:ctrlPr>
                <w:rPr>
                  <w:rFonts w:hint="default" w:ascii="Cambria Math" w:hAnsi="Cambria Math" w:eastAsia="宋体"/>
                  <w:i/>
                  <w:sz w:val="24"/>
                </w:rPr>
              </m:ctrlPr>
            </m:mPr>
            <m:mr>
              <m:e>
                <m:sSub>
                  <m:sSubPr>
                    <m:ctrlPr>
                      <w:rPr>
                        <w:rFonts w:hint="default" w:ascii="Cambria Math" w:hAnsi="Cambria Math" w:eastAsia="宋体"/>
                        <w:sz w:val="24"/>
                      </w:rPr>
                    </m:ctrlPr>
                  </m:sSubPr>
                  <m:e>
                    <m:r>
                      <m:rPr>
                        <m:sty m:val="p"/>
                      </m:rPr>
                      <w:rPr>
                        <w:rFonts w:hint="default" w:ascii="Cambria Math" w:hAnsi="Cambria Math" w:eastAsia="宋体"/>
                        <w:sz w:val="24"/>
                      </w:rPr>
                      <m:t>Coupling</m:t>
                    </m:r>
                    <m:ctrlPr>
                      <w:rPr>
                        <w:rFonts w:ascii="Cambria Math" w:hAnsi="Cambria Math" w:eastAsia="宋体"/>
                        <w:sz w:val="24"/>
                      </w:rPr>
                    </m:ctrlPr>
                  </m:e>
                  <m:sub>
                    <m:r>
                      <m:rPr/>
                      <w:rPr>
                        <w:rFonts w:hint="default" w:ascii="Cambria Math" w:hAnsi="Cambria Math" w:eastAsia="宋体"/>
                        <w:sz w:val="24"/>
                      </w:rPr>
                      <m:t>F,G,t</m:t>
                    </m:r>
                    <m:ctrlPr>
                      <w:rPr>
                        <w:rFonts w:ascii="Cambria Math" w:hAnsi="Cambria Math" w:eastAsia="宋体"/>
                        <w:sz w:val="24"/>
                      </w:rPr>
                    </m:ctrlPr>
                  </m:sub>
                </m:sSub>
                <m:r>
                  <m:rPr/>
                  <w:rPr>
                    <w:rFonts w:hint="default" w:ascii="Cambria Math" w:hAnsi="Cambria Math" w:eastAsia="宋体"/>
                    <w:sz w:val="24"/>
                  </w:rPr>
                  <m:t>=</m:t>
                </m:r>
                <m:f>
                  <m:fPr>
                    <m:ctrlPr>
                      <w:rPr>
                        <w:rFonts w:hint="default" w:ascii="Cambria Math" w:hAnsi="Cambria Math" w:eastAsia="宋体"/>
                        <w:i/>
                        <w:sz w:val="24"/>
                      </w:rPr>
                    </m:ctrlPr>
                  </m:fPr>
                  <m:num>
                    <m:r>
                      <m:rPr/>
                      <w:rPr>
                        <w:rFonts w:hint="default" w:ascii="Cambria Math" w:hAnsi="Cambria Math" w:eastAsia="宋体"/>
                        <w:sz w:val="24"/>
                      </w:rPr>
                      <m:t>1</m:t>
                    </m:r>
                    <m:ctrlPr>
                      <w:rPr>
                        <w:rFonts w:ascii="Cambria Math" w:hAnsi="Cambria Math" w:eastAsia="宋体"/>
                        <w:sz w:val="24"/>
                      </w:rPr>
                    </m:ctrlPr>
                  </m:num>
                  <m:den>
                    <m:r>
                      <m:rPr/>
                      <w:rPr>
                        <w:rFonts w:hint="default" w:ascii="Cambria Math" w:hAnsi="Cambria Math" w:eastAsia="宋体"/>
                        <w:sz w:val="24"/>
                      </w:rPr>
                      <m:t>|</m:t>
                    </m:r>
                    <m:sSub>
                      <m:sSubPr>
                        <m:ctrlPr>
                          <w:rPr>
                            <w:rFonts w:hint="default" w:ascii="Cambria Math" w:hAnsi="Cambria Math" w:eastAsia="宋体"/>
                            <w:sz w:val="24"/>
                          </w:rPr>
                        </m:ctrlPr>
                      </m:sSubPr>
                      <m:e>
                        <m:r>
                          <m:rPr/>
                          <w:rPr>
                            <w:rFonts w:hint="default" w:ascii="Cambria Math" w:hAnsi="Cambria Math" w:eastAsia="宋体"/>
                            <w:sz w:val="24"/>
                          </w:rPr>
                          <m:t>T</m:t>
                        </m:r>
                        <m:ctrlPr>
                          <w:rPr>
                            <w:rFonts w:ascii="Cambria Math" w:hAnsi="Cambria Math" w:eastAsia="宋体"/>
                            <w:sz w:val="24"/>
                          </w:rPr>
                        </m:ctrlPr>
                      </m:e>
                      <m:sub>
                        <m:r>
                          <m:rPr/>
                          <w:rPr>
                            <w:rFonts w:hint="default" w:ascii="Cambria Math" w:hAnsi="Cambria Math" w:eastAsia="宋体"/>
                            <w:sz w:val="24"/>
                          </w:rPr>
                          <m:t>F</m:t>
                        </m:r>
                        <m:ctrlPr>
                          <w:rPr>
                            <w:rFonts w:ascii="Cambria Math" w:hAnsi="Cambria Math" w:eastAsia="宋体"/>
                            <w:sz w:val="24"/>
                          </w:rPr>
                        </m:ctrlPr>
                      </m:sub>
                    </m:sSub>
                    <m:r>
                      <m:rPr/>
                      <w:rPr>
                        <w:rFonts w:hint="default" w:ascii="Cambria Math" w:hAnsi="Cambria Math" w:eastAsia="宋体"/>
                        <w:sz w:val="24"/>
                      </w:rPr>
                      <m:t>|⋅|</m:t>
                    </m:r>
                    <m:sSub>
                      <m:sSubPr>
                        <m:ctrlPr>
                          <w:rPr>
                            <w:rFonts w:hint="default" w:ascii="Cambria Math" w:hAnsi="Cambria Math" w:eastAsia="宋体"/>
                            <w:sz w:val="24"/>
                          </w:rPr>
                        </m:ctrlPr>
                      </m:sSubPr>
                      <m:e>
                        <m:r>
                          <m:rPr/>
                          <w:rPr>
                            <w:rFonts w:hint="default" w:ascii="Cambria Math" w:hAnsi="Cambria Math" w:eastAsia="宋体"/>
                            <w:sz w:val="24"/>
                          </w:rPr>
                          <m:t>T</m:t>
                        </m:r>
                        <m:ctrlPr>
                          <w:rPr>
                            <w:rFonts w:ascii="Cambria Math" w:hAnsi="Cambria Math" w:eastAsia="宋体"/>
                            <w:sz w:val="24"/>
                          </w:rPr>
                        </m:ctrlPr>
                      </m:e>
                      <m:sub>
                        <m:r>
                          <m:rPr/>
                          <w:rPr>
                            <w:rFonts w:hint="default" w:ascii="Cambria Math" w:hAnsi="Cambria Math" w:eastAsia="宋体"/>
                            <w:sz w:val="24"/>
                          </w:rPr>
                          <m:t>G</m:t>
                        </m:r>
                        <m:ctrlPr>
                          <w:rPr>
                            <w:rFonts w:ascii="Cambria Math" w:hAnsi="Cambria Math" w:eastAsia="宋体"/>
                            <w:sz w:val="24"/>
                          </w:rPr>
                        </m:ctrlPr>
                      </m:sub>
                    </m:sSub>
                    <m:r>
                      <m:rPr/>
                      <w:rPr>
                        <w:rFonts w:hint="default" w:ascii="Cambria Math" w:hAnsi="Cambria Math" w:eastAsia="宋体"/>
                        <w:sz w:val="24"/>
                      </w:rPr>
                      <m:t>|</m:t>
                    </m:r>
                    <m:ctrlPr>
                      <w:rPr>
                        <w:rFonts w:hint="default" w:ascii="Cambria Math" w:hAnsi="Cambria Math" w:eastAsia="宋体"/>
                        <w:sz w:val="24"/>
                      </w:rPr>
                    </m:ctrlPr>
                  </m:den>
                </m:f>
                <m:nary>
                  <m:naryPr>
                    <m:chr m:val="∑"/>
                    <m:limLoc m:val="undOvr"/>
                    <m:supHide m:val="1"/>
                    <m:ctrlPr>
                      <w:rPr>
                        <w:rFonts w:hint="default" w:ascii="Cambria Math" w:hAnsi="Cambria Math" w:eastAsia="宋体"/>
                        <w:i/>
                        <w:sz w:val="24"/>
                      </w:rPr>
                    </m:ctrlPr>
                  </m:naryPr>
                  <m:sub>
                    <m:r>
                      <m:rPr/>
                      <w:rPr>
                        <w:rFonts w:hint="default" w:ascii="Cambria Math" w:hAnsi="Cambria Math" w:eastAsia="宋体"/>
                        <w:sz w:val="24"/>
                      </w:rPr>
                      <m:t>i∈</m:t>
                    </m:r>
                    <m:sSub>
                      <m:sSubPr>
                        <m:ctrlPr>
                          <w:rPr>
                            <w:rFonts w:hint="default" w:ascii="Cambria Math" w:hAnsi="Cambria Math" w:eastAsia="宋体"/>
                            <w:sz w:val="24"/>
                          </w:rPr>
                        </m:ctrlPr>
                      </m:sSubPr>
                      <m:e>
                        <m:r>
                          <m:rPr/>
                          <w:rPr>
                            <w:rFonts w:hint="default" w:ascii="Cambria Math" w:hAnsi="Cambria Math" w:eastAsia="宋体"/>
                            <w:sz w:val="24"/>
                          </w:rPr>
                          <m:t>T</m:t>
                        </m:r>
                        <m:ctrlPr>
                          <w:rPr>
                            <w:rFonts w:ascii="Cambria Math" w:hAnsi="Cambria Math" w:eastAsia="宋体"/>
                            <w:sz w:val="24"/>
                          </w:rPr>
                        </m:ctrlPr>
                      </m:e>
                      <m:sub>
                        <m:r>
                          <m:rPr/>
                          <w:rPr>
                            <w:rFonts w:hint="default" w:ascii="Cambria Math" w:hAnsi="Cambria Math" w:eastAsia="宋体"/>
                            <w:sz w:val="24"/>
                          </w:rPr>
                          <m:t>F</m:t>
                        </m:r>
                        <m:ctrlPr>
                          <w:rPr>
                            <w:rFonts w:ascii="Cambria Math" w:hAnsi="Cambria Math" w:eastAsia="宋体"/>
                            <w:sz w:val="24"/>
                          </w:rPr>
                        </m:ctrlPr>
                      </m:sub>
                    </m:sSub>
                    <m:ctrlPr>
                      <w:rPr>
                        <w:rFonts w:hint="default" w:ascii="Cambria Math" w:hAnsi="Cambria Math" w:eastAsia="宋体"/>
                        <w:sz w:val="24"/>
                      </w:rPr>
                    </m:ctrlPr>
                  </m:sub>
                  <m:sup>
                    <m:ctrlPr>
                      <w:rPr>
                        <w:rFonts w:hint="default" w:ascii="Cambria Math" w:hAnsi="Cambria Math" w:eastAsia="宋体"/>
                        <w:sz w:val="24"/>
                      </w:rPr>
                    </m:ctrlPr>
                  </m:sup>
                  <m:e>
                    <m:nary>
                      <m:naryPr>
                        <m:chr m:val="∑"/>
                        <m:limLoc m:val="undOvr"/>
                        <m:supHide m:val="1"/>
                        <m:ctrlPr>
                          <w:rPr>
                            <w:rFonts w:hint="default" w:ascii="Cambria Math" w:hAnsi="Cambria Math" w:eastAsia="宋体"/>
                            <w:i/>
                            <w:sz w:val="24"/>
                          </w:rPr>
                        </m:ctrlPr>
                      </m:naryPr>
                      <m:sub>
                        <m:r>
                          <m:rPr/>
                          <w:rPr>
                            <w:rFonts w:hint="default" w:ascii="Cambria Math" w:hAnsi="Cambria Math" w:eastAsia="宋体"/>
                            <w:sz w:val="24"/>
                          </w:rPr>
                          <m:t>j∈</m:t>
                        </m:r>
                        <m:sSub>
                          <m:sSubPr>
                            <m:ctrlPr>
                              <w:rPr>
                                <w:rFonts w:hint="default" w:ascii="Cambria Math" w:hAnsi="Cambria Math" w:eastAsia="宋体"/>
                                <w:sz w:val="24"/>
                              </w:rPr>
                            </m:ctrlPr>
                          </m:sSubPr>
                          <m:e>
                            <m:r>
                              <m:rPr/>
                              <w:rPr>
                                <w:rFonts w:hint="default" w:ascii="Cambria Math" w:hAnsi="Cambria Math" w:eastAsia="宋体"/>
                                <w:sz w:val="24"/>
                              </w:rPr>
                              <m:t>T</m:t>
                            </m:r>
                            <m:ctrlPr>
                              <w:rPr>
                                <w:rFonts w:ascii="Cambria Math" w:hAnsi="Cambria Math" w:eastAsia="宋体"/>
                                <w:sz w:val="24"/>
                              </w:rPr>
                            </m:ctrlPr>
                          </m:e>
                          <m:sub>
                            <m:r>
                              <m:rPr/>
                              <w:rPr>
                                <w:rFonts w:hint="default" w:ascii="Cambria Math" w:hAnsi="Cambria Math" w:eastAsia="宋体"/>
                                <w:sz w:val="24"/>
                              </w:rPr>
                              <m:t>G</m:t>
                            </m:r>
                            <m:ctrlPr>
                              <w:rPr>
                                <w:rFonts w:ascii="Cambria Math" w:hAnsi="Cambria Math" w:eastAsia="宋体"/>
                                <w:sz w:val="24"/>
                              </w:rPr>
                            </m:ctrlPr>
                          </m:sub>
                        </m:sSub>
                        <m:ctrlPr>
                          <w:rPr>
                            <w:rFonts w:hint="default" w:ascii="Cambria Math" w:hAnsi="Cambria Math" w:eastAsia="宋体"/>
                            <w:sz w:val="24"/>
                          </w:rPr>
                        </m:ctrlPr>
                      </m:sub>
                      <m:sup>
                        <m:ctrlPr>
                          <w:rPr>
                            <w:rFonts w:hint="default" w:ascii="Cambria Math" w:hAnsi="Cambria Math" w:eastAsia="宋体"/>
                            <w:sz w:val="24"/>
                          </w:rPr>
                        </m:ctrlPr>
                      </m:sup>
                      <m:e>
                        <m:sSubSup>
                          <m:sSubSupPr>
                            <m:ctrlPr>
                              <w:rPr>
                                <w:rFonts w:hint="default" w:ascii="Cambria Math" w:hAnsi="Cambria Math" w:eastAsia="宋体"/>
                                <w:sz w:val="24"/>
                              </w:rPr>
                            </m:ctrlPr>
                          </m:sSubSupPr>
                          <m:e>
                            <m:r>
                              <m:rPr/>
                              <w:rPr>
                                <w:rFonts w:hint="default" w:ascii="Cambria Math" w:hAnsi="Cambria Math" w:eastAsia="宋体"/>
                                <w:sz w:val="24"/>
                              </w:rPr>
                              <m:t>c</m:t>
                            </m:r>
                            <m:ctrlPr>
                              <w:rPr>
                                <w:rFonts w:ascii="Cambria Math" w:hAnsi="Cambria Math" w:eastAsia="宋体"/>
                                <w:sz w:val="24"/>
                              </w:rPr>
                            </m:ctrlPr>
                          </m:e>
                          <m:sub>
                            <m:r>
                              <m:rPr/>
                              <w:rPr>
                                <w:rFonts w:hint="default" w:ascii="Cambria Math" w:hAnsi="Cambria Math" w:eastAsia="宋体"/>
                                <w:sz w:val="24"/>
                              </w:rPr>
                              <m:t>ij</m:t>
                            </m:r>
                            <m:ctrlPr>
                              <w:rPr>
                                <w:rFonts w:ascii="Cambria Math" w:hAnsi="Cambria Math" w:eastAsia="宋体"/>
                                <w:sz w:val="24"/>
                              </w:rPr>
                            </m:ctrlPr>
                          </m:sub>
                          <m:sup>
                            <m:r>
                              <m:rPr/>
                              <w:rPr>
                                <w:rFonts w:hint="default" w:ascii="Cambria Math" w:hAnsi="Cambria Math" w:eastAsia="宋体"/>
                                <w:sz w:val="24"/>
                              </w:rPr>
                              <m:t>(t)</m:t>
                            </m:r>
                            <m:ctrlPr>
                              <w:rPr>
                                <w:rFonts w:ascii="Cambria Math" w:hAnsi="Cambria Math" w:eastAsia="宋体"/>
                                <w:sz w:val="24"/>
                              </w:rPr>
                            </m:ctrlPr>
                          </m:sup>
                        </m:sSubSup>
                        <m:ctrlPr>
                          <w:rPr>
                            <w:rFonts w:hint="default" w:ascii="Cambria Math" w:hAnsi="Cambria Math" w:eastAsia="宋体"/>
                            <w:sz w:val="24"/>
                          </w:rPr>
                        </m:ctrlPr>
                      </m:e>
                    </m:nary>
                    <m:ctrlPr>
                      <w:rPr>
                        <w:rFonts w:hint="default" w:ascii="Cambria Math" w:hAnsi="Cambria Math" w:eastAsia="宋体"/>
                        <w:i/>
                        <w:sz w:val="24"/>
                      </w:rPr>
                    </m:ctrlPr>
                  </m:e>
                </m:nary>
                <m:r>
                  <m:rPr/>
                  <w:rPr>
                    <w:rFonts w:hint="default" w:ascii="Cambria Math" w:hAnsi="Cambria Math" w:eastAsia="宋体"/>
                    <w:sz w:val="24"/>
                  </w:rPr>
                  <m:t>,</m:t>
                </m:r>
                <m:r>
                  <m:rPr>
                    <m:sty m:val="p"/>
                  </m:rPr>
                  <w:rPr>
                    <w:rFonts w:hint="default" w:ascii="Cambria Math" w:hAnsi="Cambria Math" w:eastAsia="宋体"/>
                    <w:sz w:val="24"/>
                  </w:rPr>
                  <m:t xml:space="preserve">    </m:t>
                </m:r>
                <m:r>
                  <m:rPr/>
                  <w:rPr>
                    <w:rFonts w:hint="default" w:ascii="Cambria Math" w:hAnsi="Cambria Math" w:eastAsia="宋体"/>
                    <w:sz w:val="24"/>
                  </w:rPr>
                  <m:t>F≠G</m:t>
                </m:r>
                <m:ctrlPr>
                  <w:rPr>
                    <w:rFonts w:hint="default" w:ascii="Cambria Math" w:hAnsi="Cambria Math" w:eastAsia="宋体"/>
                    <w:i/>
                    <w:sz w:val="24"/>
                  </w:rPr>
                </m:ctrlPr>
              </m:e>
            </m:mr>
          </m:m>
        </m:oMath>
      </m:oMathPara>
    </w:p>
    <w:p w14:paraId="46FC8155">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Between-frame coupling measures the average connection strength between two different frames, F and G, in year t. It is calculated by averaging the cosine similarity values of all topic pairs across the two frames. Higher values indicate that the two frames were more likely to co-occur and were more closely linked in that year’s news discourse.</w:t>
      </w:r>
    </w:p>
    <w:p w14:paraId="40FCA529">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i/>
          <w:iCs/>
          <w:sz w:val="24"/>
          <w:lang w:val="en-US" w:eastAsia="zh-CN"/>
        </w:rPr>
      </w:pPr>
      <w:r>
        <w:rPr>
          <w:rFonts w:hint="default" w:ascii="Times New Roman Regular" w:hAnsi="Times New Roman Regular" w:cs="Times New Roman Regular"/>
          <w:b/>
          <w:bCs/>
          <w:i/>
          <w:iCs/>
          <w:sz w:val="24"/>
          <w:lang w:val="en-US" w:eastAsia="zh-CN"/>
        </w:rPr>
        <w:t>Interpretation</w:t>
      </w:r>
    </w:p>
    <w:p w14:paraId="2955A911">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Frame salience is used to compare the relative prominence of the three frames across years. Within-frame cohesion is used to assess the degree of internal integration within a single frame over time. Between-frame coupling is used to examine the strength of association between different frames and whether they became more closely connected in a given year.</w:t>
      </w:r>
    </w:p>
    <w:p w14:paraId="51A54556">
      <w:pPr>
        <w:keepNext w:val="0"/>
        <w:keepLines w:val="0"/>
        <w:pageBreakBefore w:val="0"/>
        <w:widowControl w:val="0"/>
        <w:kinsoku/>
        <w:wordWrap/>
        <w:overflowPunct/>
        <w:topLinePunct w:val="0"/>
        <w:autoSpaceDE/>
        <w:autoSpaceDN/>
        <w:bidi w:val="0"/>
        <w:adjustRightInd/>
        <w:snapToGrid w:val="0"/>
        <w:spacing w:line="480" w:lineRule="auto"/>
        <w:ind w:firstLine="420" w:firstLineChars="0"/>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These formulas are operational definitions developed for this study within a fixed-block temporal blockmodel framework. To keep the main Methods section concise, detailed formula definitions are provided here in the appendix.</w:t>
      </w:r>
    </w:p>
    <w:p w14:paraId="60C41A97">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p>
    <w:p w14:paraId="4BA37D99">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sz w:val="24"/>
          <w:lang w:val="en-US" w:eastAsia="zh-CN"/>
        </w:rPr>
      </w:pPr>
      <w:r>
        <w:rPr>
          <w:rFonts w:hint="default" w:ascii="Times New Roman Regular" w:hAnsi="Times New Roman Regular" w:cs="Times New Roman Regular"/>
          <w:b/>
          <w:bCs/>
          <w:sz w:val="24"/>
          <w:lang w:val="en-US" w:eastAsia="zh-CN"/>
        </w:rPr>
        <w:t>Topics and Top Keywords by Frame</w:t>
      </w:r>
    </w:p>
    <w:p w14:paraId="7F98FB2D">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eastAsia" w:ascii="Times New Roman Regular" w:hAnsi="Times New Roman Regular" w:cs="Times New Roman Regular"/>
          <w:b/>
          <w:bCs/>
          <w:sz w:val="24"/>
          <w:lang w:val="en-US" w:eastAsia="zh-CN"/>
        </w:rPr>
      </w:pPr>
      <w:r>
        <w:rPr>
          <w:rFonts w:hint="eastAsia" w:ascii="Times New Roman Regular" w:hAnsi="Times New Roman Regular" w:cs="Times New Roman Regular"/>
          <w:b/>
          <w:bCs/>
          <w:sz w:val="24"/>
          <w:lang w:val="en-US" w:eastAsia="zh-CN"/>
        </w:rPr>
        <w:t>Table</w:t>
      </w:r>
      <w:r>
        <w:rPr>
          <w:rFonts w:hint="default" w:ascii="Times New Roman Regular" w:hAnsi="Times New Roman Regular" w:cs="Times New Roman Regular"/>
          <w:b/>
          <w:bCs/>
          <w:sz w:val="24"/>
          <w:lang w:val="en-US" w:eastAsia="zh-CN"/>
        </w:rPr>
        <w:t xml:space="preserve"> </w:t>
      </w:r>
      <w:r>
        <w:rPr>
          <w:rFonts w:hint="eastAsia" w:ascii="Times New Roman Regular" w:hAnsi="Times New Roman Regular" w:cs="Times New Roman Regular"/>
          <w:b/>
          <w:bCs/>
          <w:sz w:val="24"/>
          <w:lang w:val="en-US" w:eastAsia="zh-CN"/>
        </w:rPr>
        <w:t>1</w:t>
      </w:r>
    </w:p>
    <w:p w14:paraId="6B4D3D34">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eastAsia" w:ascii="Times New Roman Regular" w:hAnsi="Times New Roman Regular" w:cs="Times New Roman Regular"/>
          <w:b w:val="0"/>
          <w:bCs w:val="0"/>
          <w:i/>
          <w:iCs/>
          <w:sz w:val="24"/>
          <w:lang w:val="en-US" w:eastAsia="zh-CN"/>
        </w:rPr>
        <w:t>Topics and top keywords by frame</w:t>
      </w:r>
    </w:p>
    <w:tbl>
      <w:tblPr>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2071"/>
        <w:gridCol w:w="2550"/>
        <w:gridCol w:w="3898"/>
      </w:tblGrid>
      <w:tr w14:paraId="4757F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tcBorders>
              <w:top w:val="single" w:color="000000" w:sz="12" w:space="0"/>
              <w:left w:val="nil"/>
              <w:bottom w:val="single" w:color="000000" w:sz="4" w:space="0"/>
              <w:right w:val="nil"/>
              <w:tl2br w:val="nil"/>
            </w:tcBorders>
            <w:shd w:val="clear" w:color="auto" w:fill="FFFFFF"/>
            <w:vAlign w:val="center"/>
          </w:tcPr>
          <w:p w14:paraId="03DA626D">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4"/>
                <w:szCs w:val="24"/>
                <w:u w:val="none"/>
              </w:rPr>
            </w:pPr>
            <w:r>
              <w:rPr>
                <w:rFonts w:hint="default" w:ascii="Times New Roman" w:hAnsi="Times New Roman" w:eastAsia="宋体" w:cs="Times New Roman"/>
                <w:b w:val="0"/>
                <w:bCs/>
                <w:i w:val="0"/>
                <w:iCs w:val="0"/>
                <w:color w:val="000000"/>
                <w:kern w:val="0"/>
                <w:sz w:val="24"/>
                <w:szCs w:val="24"/>
                <w:u w:val="none"/>
                <w:bdr w:val="none" w:color="auto" w:sz="0" w:space="0"/>
                <w:lang w:val="en-US" w:eastAsia="zh-CN" w:bidi="ar"/>
              </w:rPr>
              <w:t>Frame</w:t>
            </w:r>
          </w:p>
        </w:tc>
        <w:tc>
          <w:tcPr>
            <w:tcW w:w="1496" w:type="pct"/>
            <w:tcBorders>
              <w:top w:val="single" w:color="000000" w:sz="12" w:space="0"/>
              <w:left w:val="nil"/>
              <w:bottom w:val="single" w:color="000000" w:sz="4" w:space="0"/>
              <w:right w:val="nil"/>
            </w:tcBorders>
            <w:shd w:val="clear" w:color="auto" w:fill="FFFFFF"/>
            <w:vAlign w:val="center"/>
          </w:tcPr>
          <w:p w14:paraId="59F84704">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4"/>
                <w:szCs w:val="24"/>
                <w:u w:val="none"/>
              </w:rPr>
            </w:pPr>
            <w:r>
              <w:rPr>
                <w:rFonts w:hint="default" w:ascii="Times New Roman" w:hAnsi="Times New Roman" w:eastAsia="宋体" w:cs="Times New Roman"/>
                <w:b w:val="0"/>
                <w:bCs/>
                <w:i w:val="0"/>
                <w:iCs w:val="0"/>
                <w:color w:val="000000"/>
                <w:kern w:val="0"/>
                <w:sz w:val="24"/>
                <w:szCs w:val="24"/>
                <w:u w:val="none"/>
                <w:bdr w:val="none" w:color="auto" w:sz="0" w:space="0"/>
                <w:lang w:val="en-US" w:eastAsia="zh-CN" w:bidi="ar"/>
              </w:rPr>
              <w:t>Topic label</w:t>
            </w:r>
          </w:p>
        </w:tc>
        <w:tc>
          <w:tcPr>
            <w:tcW w:w="2287" w:type="pct"/>
            <w:tcBorders>
              <w:top w:val="single" w:color="000000" w:sz="12" w:space="0"/>
              <w:left w:val="nil"/>
              <w:bottom w:val="single" w:color="000000" w:sz="4" w:space="0"/>
              <w:right w:val="nil"/>
            </w:tcBorders>
            <w:shd w:val="clear" w:color="auto" w:fill="FFFFFF"/>
            <w:vAlign w:val="center"/>
          </w:tcPr>
          <w:p w14:paraId="7005BD4F">
            <w:pPr>
              <w:keepNext w:val="0"/>
              <w:keepLines w:val="0"/>
              <w:widowControl/>
              <w:suppressLineNumbers w:val="0"/>
              <w:jc w:val="center"/>
              <w:textAlignment w:val="center"/>
              <w:rPr>
                <w:rFonts w:hint="default" w:ascii="Times New Roman" w:hAnsi="Times New Roman" w:eastAsia="宋体" w:cs="Times New Roman"/>
                <w:b w:val="0"/>
                <w:bCs/>
                <w:i w:val="0"/>
                <w:iCs w:val="0"/>
                <w:color w:val="000000"/>
                <w:sz w:val="24"/>
                <w:szCs w:val="24"/>
                <w:u w:val="none"/>
              </w:rPr>
            </w:pPr>
            <w:r>
              <w:rPr>
                <w:rFonts w:hint="default" w:ascii="Times New Roman" w:hAnsi="Times New Roman" w:eastAsia="宋体" w:cs="Times New Roman"/>
                <w:b w:val="0"/>
                <w:bCs/>
                <w:i w:val="0"/>
                <w:iCs w:val="0"/>
                <w:color w:val="000000"/>
                <w:kern w:val="0"/>
                <w:sz w:val="24"/>
                <w:szCs w:val="24"/>
                <w:u w:val="none"/>
                <w:bdr w:val="none" w:color="auto" w:sz="0" w:space="0"/>
                <w:lang w:val="en-US" w:eastAsia="zh-CN" w:bidi="ar"/>
              </w:rPr>
              <w:t>Top 15 keywords</w:t>
            </w:r>
          </w:p>
        </w:tc>
      </w:tr>
      <w:tr w14:paraId="196E1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restart"/>
            <w:tcBorders>
              <w:top w:val="single" w:color="000000" w:sz="4" w:space="0"/>
              <w:left w:val="nil"/>
              <w:bottom w:val="nil"/>
              <w:right w:val="nil"/>
            </w:tcBorders>
            <w:shd w:val="clear" w:color="auto" w:fill="FFFFFF"/>
            <w:vAlign w:val="center"/>
          </w:tcPr>
          <w:p w14:paraId="7E3EAECE">
            <w:pPr>
              <w:keepNext w:val="0"/>
              <w:keepLines w:val="0"/>
              <w:widowControl/>
              <w:suppressLineNumbers w:val="0"/>
              <w:jc w:val="center"/>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Institutional Implementation Frame</w:t>
            </w:r>
          </w:p>
        </w:tc>
        <w:tc>
          <w:tcPr>
            <w:tcW w:w="1496" w:type="pct"/>
            <w:tcBorders>
              <w:top w:val="single" w:color="000000" w:sz="4" w:space="0"/>
              <w:left w:val="nil"/>
              <w:bottom w:val="nil"/>
              <w:right w:val="nil"/>
            </w:tcBorders>
            <w:shd w:val="clear" w:color="auto" w:fill="FFFFFF"/>
            <w:vAlign w:val="center"/>
          </w:tcPr>
          <w:p w14:paraId="2321FBFE">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National Pledges</w:t>
            </w:r>
          </w:p>
        </w:tc>
        <w:tc>
          <w:tcPr>
            <w:tcW w:w="2287" w:type="pct"/>
            <w:tcBorders>
              <w:top w:val="single" w:color="000000" w:sz="4" w:space="0"/>
              <w:left w:val="nil"/>
              <w:bottom w:val="nil"/>
              <w:right w:val="nil"/>
            </w:tcBorders>
            <w:shd w:val="clear" w:color="auto" w:fill="FFFFFF"/>
            <w:vAlign w:val="center"/>
          </w:tcPr>
          <w:p w14:paraId="4304187F">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unfccc, indc, paris, country, submit, agreement, come, new, change, climate change, global, agree, party, advance, support</w:t>
            </w:r>
          </w:p>
        </w:tc>
      </w:tr>
      <w:tr w14:paraId="2527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1B8ACCA5">
            <w:pPr>
              <w:jc w:val="cente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22CFD517">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Climate Finance</w:t>
            </w:r>
          </w:p>
        </w:tc>
        <w:tc>
          <w:tcPr>
            <w:tcW w:w="2287" w:type="pct"/>
            <w:tcBorders>
              <w:top w:val="nil"/>
              <w:left w:val="nil"/>
              <w:bottom w:val="nil"/>
              <w:right w:val="nil"/>
            </w:tcBorders>
            <w:shd w:val="clear" w:color="auto" w:fill="FFFFFF"/>
            <w:vAlign w:val="center"/>
          </w:tcPr>
          <w:p w14:paraId="4EF71557">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finance, fund, country, project, climate finance, mechanism, develop, cdm, development, meeting, develop country, committee, agreement, article, market</w:t>
            </w:r>
          </w:p>
        </w:tc>
      </w:tr>
      <w:tr w14:paraId="67756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5F34C611">
            <w:pPr>
              <w:jc w:val="cente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038FF017">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Action Initiatives</w:t>
            </w:r>
          </w:p>
        </w:tc>
        <w:tc>
          <w:tcPr>
            <w:tcW w:w="2287" w:type="pct"/>
            <w:tcBorders>
              <w:top w:val="nil"/>
              <w:left w:val="nil"/>
              <w:bottom w:val="nil"/>
              <w:right w:val="nil"/>
            </w:tcBorders>
            <w:shd w:val="clear" w:color="auto" w:fill="FFFFFF"/>
            <w:vAlign w:val="center"/>
          </w:tcPr>
          <w:p w14:paraId="1A2C48D2">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change, climate change, action, climate action, initiative, momentum, project, momentum change, award, woman, solution, global, world, energy, sustainable</w:t>
            </w:r>
          </w:p>
        </w:tc>
      </w:tr>
      <w:tr w14:paraId="5AC48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2D6B91CD">
            <w:pPr>
              <w:jc w:val="cente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4EDAD2E1">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REDD+ Governance</w:t>
            </w:r>
          </w:p>
        </w:tc>
        <w:tc>
          <w:tcPr>
            <w:tcW w:w="2287" w:type="pct"/>
            <w:tcBorders>
              <w:top w:val="nil"/>
              <w:left w:val="nil"/>
              <w:bottom w:val="nil"/>
              <w:right w:val="nil"/>
            </w:tcBorders>
            <w:shd w:val="clear" w:color="auto" w:fill="FFFFFF"/>
            <w:vAlign w:val="center"/>
          </w:tcPr>
          <w:p w14:paraId="18F0CCD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forest, redd, deforestation, asset, country, financial, degradation, net, management, result, relate, develop, framework, forest degradation, deforestation forest</w:t>
            </w:r>
          </w:p>
        </w:tc>
      </w:tr>
      <w:tr w14:paraId="409C5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40DE6B05">
            <w:pPr>
              <w:jc w:val="cente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23399DAB">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Climate Technology</w:t>
            </w:r>
          </w:p>
        </w:tc>
        <w:tc>
          <w:tcPr>
            <w:tcW w:w="2287" w:type="pct"/>
            <w:tcBorders>
              <w:top w:val="nil"/>
              <w:left w:val="nil"/>
              <w:bottom w:val="nil"/>
              <w:right w:val="nil"/>
            </w:tcBorders>
            <w:shd w:val="clear" w:color="auto" w:fill="FFFFFF"/>
            <w:vAlign w:val="center"/>
          </w:tcPr>
          <w:p w14:paraId="036176CA">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technology, country, develop, risk, disaster, climate technology, change, climate change, tec, island, develop country, disaster risk, small, mechanism, development</w:t>
            </w:r>
          </w:p>
        </w:tc>
      </w:tr>
      <w:tr w14:paraId="40336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55CFA36E">
            <w:pPr>
              <w:jc w:val="cente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2D3E6EC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COP Diplomacy</w:t>
            </w:r>
          </w:p>
        </w:tc>
        <w:tc>
          <w:tcPr>
            <w:tcW w:w="2287" w:type="pct"/>
            <w:tcBorders>
              <w:top w:val="nil"/>
              <w:left w:val="nil"/>
              <w:bottom w:val="nil"/>
              <w:right w:val="nil"/>
            </w:tcBorders>
            <w:shd w:val="clear" w:color="auto" w:fill="FFFFFF"/>
            <w:vAlign w:val="center"/>
          </w:tcPr>
          <w:p w14:paraId="5DA346FB">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change, climate change, conference, secretary, cop, agreement, paris, minister, president, government, bonn, general, unfccc, united, say</w:t>
            </w:r>
          </w:p>
        </w:tc>
      </w:tr>
      <w:tr w14:paraId="2BA53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6D059FCD">
            <w:pPr>
              <w:jc w:val="cente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16625C9B">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Urban Climate Solutions</w:t>
            </w:r>
          </w:p>
        </w:tc>
        <w:tc>
          <w:tcPr>
            <w:tcW w:w="2287" w:type="pct"/>
            <w:tcBorders>
              <w:top w:val="nil"/>
              <w:left w:val="nil"/>
              <w:bottom w:val="nil"/>
              <w:right w:val="nil"/>
            </w:tcBorders>
            <w:shd w:val="clear" w:color="auto" w:fill="FFFFFF"/>
            <w:vAlign w:val="center"/>
          </w:tcPr>
          <w:p w14:paraId="1C96A573">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city, urban, say, world, carbon, project, building, emissions, airport, read, local, area, cent, article, work</w:t>
            </w:r>
          </w:p>
        </w:tc>
      </w:tr>
      <w:tr w14:paraId="77ABE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restart"/>
            <w:tcBorders>
              <w:top w:val="nil"/>
              <w:left w:val="nil"/>
              <w:bottom w:val="nil"/>
              <w:right w:val="nil"/>
            </w:tcBorders>
            <w:shd w:val="clear" w:color="auto" w:fill="FFFFFF"/>
            <w:vAlign w:val="center"/>
          </w:tcPr>
          <w:p w14:paraId="135DD64F">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Transition Pathways Frame</w:t>
            </w:r>
          </w:p>
        </w:tc>
        <w:tc>
          <w:tcPr>
            <w:tcW w:w="1496" w:type="pct"/>
            <w:tcBorders>
              <w:top w:val="nil"/>
              <w:left w:val="nil"/>
              <w:bottom w:val="nil"/>
              <w:right w:val="nil"/>
            </w:tcBorders>
            <w:shd w:val="clear" w:color="auto" w:fill="FFFFFF"/>
            <w:vAlign w:val="center"/>
          </w:tcPr>
          <w:p w14:paraId="3B2D469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Adaptation Planning</w:t>
            </w:r>
          </w:p>
        </w:tc>
        <w:tc>
          <w:tcPr>
            <w:tcW w:w="2287" w:type="pct"/>
            <w:tcBorders>
              <w:top w:val="nil"/>
              <w:left w:val="nil"/>
              <w:bottom w:val="nil"/>
              <w:right w:val="nil"/>
            </w:tcBorders>
            <w:shd w:val="clear" w:color="auto" w:fill="FFFFFF"/>
            <w:vAlign w:val="center"/>
          </w:tcPr>
          <w:p w14:paraId="27B38E1E">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adaptation, country, development, action, support, climate change, change, develop, national, initiative, plan, resilience, need, include, partnership</w:t>
            </w:r>
          </w:p>
        </w:tc>
      </w:tr>
      <w:tr w14:paraId="7F8D6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4D8AF840">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0674808D">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Transport Decarbonization</w:t>
            </w:r>
          </w:p>
        </w:tc>
        <w:tc>
          <w:tcPr>
            <w:tcW w:w="2287" w:type="pct"/>
            <w:tcBorders>
              <w:top w:val="nil"/>
              <w:left w:val="nil"/>
              <w:bottom w:val="nil"/>
              <w:right w:val="nil"/>
            </w:tcBorders>
            <w:shd w:val="clear" w:color="auto" w:fill="FFFFFF"/>
            <w:vAlign w:val="center"/>
          </w:tcPr>
          <w:p w14:paraId="7EAD93C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transport, country, action, emissions, sector, develop, develop country, target, climate action, reduction, emission, fsv, carbon, vehicle, international</w:t>
            </w:r>
          </w:p>
        </w:tc>
      </w:tr>
      <w:tr w14:paraId="76393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71B3A97A">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063385A1">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Nature &amp; Biodiversity</w:t>
            </w:r>
          </w:p>
        </w:tc>
        <w:tc>
          <w:tcPr>
            <w:tcW w:w="2287" w:type="pct"/>
            <w:tcBorders>
              <w:top w:val="nil"/>
              <w:left w:val="nil"/>
              <w:bottom w:val="nil"/>
              <w:right w:val="nil"/>
            </w:tcBorders>
            <w:shd w:val="clear" w:color="auto" w:fill="FFFFFF"/>
            <w:vAlign w:val="center"/>
          </w:tcPr>
          <w:p w14:paraId="7898B21C">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ocean, nature, biodiversity, sustainable, ecosystem, protect, solution, change, base, fashion, world, global, industry, say, area</w:t>
            </w:r>
          </w:p>
        </w:tc>
      </w:tr>
      <w:tr w14:paraId="2DA91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451B4D6F">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12957F6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Health &amp; Climate Neutrality</w:t>
            </w:r>
          </w:p>
        </w:tc>
        <w:tc>
          <w:tcPr>
            <w:tcW w:w="2287" w:type="pct"/>
            <w:tcBorders>
              <w:top w:val="nil"/>
              <w:left w:val="nil"/>
              <w:bottom w:val="nil"/>
              <w:right w:val="nil"/>
            </w:tcBorders>
            <w:shd w:val="clear" w:color="auto" w:fill="FFFFFF"/>
            <w:vAlign w:val="center"/>
          </w:tcPr>
          <w:p w14:paraId="46A35D73">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change, emissions, climate change, reduce, health, carbon, air, gas, neutral, greenhouse, greenhouse gas, use, world, climate neutral, gas emissions</w:t>
            </w:r>
          </w:p>
        </w:tc>
      </w:tr>
      <w:tr w14:paraId="113F3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755CB92F">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6852590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Green Investment</w:t>
            </w:r>
          </w:p>
        </w:tc>
        <w:tc>
          <w:tcPr>
            <w:tcW w:w="2287" w:type="pct"/>
            <w:tcBorders>
              <w:top w:val="nil"/>
              <w:left w:val="nil"/>
              <w:bottom w:val="nil"/>
              <w:right w:val="nil"/>
            </w:tcBorders>
            <w:shd w:val="clear" w:color="auto" w:fill="FFFFFF"/>
            <w:vAlign w:val="center"/>
          </w:tcPr>
          <w:p w14:paraId="1053AF1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company, carbon, investment, green, bank, investor, read, photo, new, business, release, credit, photo credit, low carbon, press</w:t>
            </w:r>
          </w:p>
        </w:tc>
      </w:tr>
      <w:tr w14:paraId="53A8B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68ACD551">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640A4642">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Food &amp; Agriculture</w:t>
            </w:r>
          </w:p>
        </w:tc>
        <w:tc>
          <w:tcPr>
            <w:tcW w:w="2287" w:type="pct"/>
            <w:tcBorders>
              <w:top w:val="nil"/>
              <w:left w:val="nil"/>
              <w:bottom w:val="nil"/>
              <w:right w:val="nil"/>
            </w:tcBorders>
            <w:shd w:val="clear" w:color="auto" w:fill="FFFFFF"/>
            <w:vAlign w:val="center"/>
          </w:tcPr>
          <w:p w14:paraId="1D2F728E">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carbon, food, emissions, agriculture, gas, reduce, land, greenhouse, greenhouse gas, soil, world, methane, country, global, pricing</w:t>
            </w:r>
          </w:p>
        </w:tc>
      </w:tr>
      <w:tr w14:paraId="2F267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48120854">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6D026C97">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Regional Climate Weeks</w:t>
            </w:r>
          </w:p>
        </w:tc>
        <w:tc>
          <w:tcPr>
            <w:tcW w:w="2287" w:type="pct"/>
            <w:tcBorders>
              <w:top w:val="nil"/>
              <w:left w:val="nil"/>
              <w:bottom w:val="nil"/>
              <w:right w:val="nil"/>
            </w:tcBorders>
            <w:shd w:val="clear" w:color="auto" w:fill="FFFFFF"/>
            <w:vAlign w:val="center"/>
          </w:tcPr>
          <w:p w14:paraId="71559E20">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unfccc, week, change, climate change, climate week, regional, africa, action, agreement, asia, development, region, climate action, int, unfccc int</w:t>
            </w:r>
          </w:p>
        </w:tc>
      </w:tr>
      <w:tr w14:paraId="4DB66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1AC4AABB">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014A729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Emissions Targets</w:t>
            </w:r>
          </w:p>
        </w:tc>
        <w:tc>
          <w:tcPr>
            <w:tcW w:w="2287" w:type="pct"/>
            <w:tcBorders>
              <w:top w:val="nil"/>
              <w:left w:val="nil"/>
              <w:bottom w:val="nil"/>
              <w:right w:val="nil"/>
            </w:tcBorders>
            <w:shd w:val="clear" w:color="auto" w:fill="FFFFFF"/>
            <w:vAlign w:val="center"/>
          </w:tcPr>
          <w:p w14:paraId="72335E6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global, emissions, agreement, change, paris, climate change, goal, report, paris agreement, gas, degree, greenhouse, action, greenhouse gas, temperature</w:t>
            </w:r>
          </w:p>
        </w:tc>
      </w:tr>
      <w:tr w14:paraId="3E273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restart"/>
            <w:tcBorders>
              <w:top w:val="nil"/>
              <w:left w:val="nil"/>
              <w:bottom w:val="nil"/>
              <w:right w:val="nil"/>
            </w:tcBorders>
            <w:shd w:val="clear" w:color="auto" w:fill="FFFFFF"/>
            <w:vAlign w:val="center"/>
          </w:tcPr>
          <w:p w14:paraId="0F90162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Collective Mobilization Frame</w:t>
            </w:r>
          </w:p>
        </w:tc>
        <w:tc>
          <w:tcPr>
            <w:tcW w:w="1496" w:type="pct"/>
            <w:tcBorders>
              <w:top w:val="nil"/>
              <w:left w:val="nil"/>
              <w:bottom w:val="nil"/>
              <w:right w:val="nil"/>
            </w:tcBorders>
            <w:shd w:val="clear" w:color="auto" w:fill="FFFFFF"/>
            <w:vAlign w:val="center"/>
          </w:tcPr>
          <w:p w14:paraId="5A837A1C">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Transparency &amp; Reporting</w:t>
            </w:r>
          </w:p>
        </w:tc>
        <w:tc>
          <w:tcPr>
            <w:tcW w:w="2287" w:type="pct"/>
            <w:tcBorders>
              <w:top w:val="nil"/>
              <w:left w:val="nil"/>
              <w:bottom w:val="nil"/>
              <w:right w:val="nil"/>
            </w:tcBorders>
            <w:shd w:val="clear" w:color="auto" w:fill="FFFFFF"/>
            <w:vAlign w:val="center"/>
          </w:tcPr>
          <w:p w14:paraId="60E1158B">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country, party, change, climate change, report, transparency, agreement, paris agreement, develop, support, paris, action, develop country, process, implementation</w:t>
            </w:r>
          </w:p>
        </w:tc>
      </w:tr>
      <w:tr w14:paraId="38F5F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3308543F">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7BF0ACF1">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Climate Impacts</w:t>
            </w:r>
          </w:p>
        </w:tc>
        <w:tc>
          <w:tcPr>
            <w:tcW w:w="2287" w:type="pct"/>
            <w:tcBorders>
              <w:top w:val="nil"/>
              <w:left w:val="nil"/>
              <w:bottom w:val="nil"/>
              <w:right w:val="nil"/>
            </w:tcBorders>
            <w:shd w:val="clear" w:color="auto" w:fill="FFFFFF"/>
            <w:vAlign w:val="center"/>
          </w:tcPr>
          <w:p w14:paraId="10CE2F0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year, temperature, sea, record, rise, level, extreme, weather, global, increase, report, change, world, drought, high</w:t>
            </w:r>
          </w:p>
        </w:tc>
      </w:tr>
      <w:tr w14:paraId="61C34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0C0D8AA3">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40FE27EA">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Global Action Appeals</w:t>
            </w:r>
          </w:p>
        </w:tc>
        <w:tc>
          <w:tcPr>
            <w:tcW w:w="2287" w:type="pct"/>
            <w:tcBorders>
              <w:top w:val="nil"/>
              <w:left w:val="nil"/>
              <w:bottom w:val="nil"/>
              <w:right w:val="nil"/>
            </w:tcBorders>
            <w:shd w:val="clear" w:color="auto" w:fill="FFFFFF"/>
            <w:vAlign w:val="center"/>
          </w:tcPr>
          <w:p w14:paraId="60995F20">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change, climate change, need, world, action, agreement, year, paris, global, country, work, paris agreement, people, finance, nation</w:t>
            </w:r>
          </w:p>
        </w:tc>
      </w:tr>
      <w:tr w14:paraId="6E62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5EAA6CF5">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527CF380">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Youth Engagement</w:t>
            </w:r>
          </w:p>
        </w:tc>
        <w:tc>
          <w:tcPr>
            <w:tcW w:w="2287" w:type="pct"/>
            <w:tcBorders>
              <w:top w:val="nil"/>
              <w:left w:val="nil"/>
              <w:bottom w:val="nil"/>
              <w:right w:val="nil"/>
            </w:tcBorders>
            <w:shd w:val="clear" w:color="auto" w:fill="FFFFFF"/>
            <w:vAlign w:val="center"/>
          </w:tcPr>
          <w:p w14:paraId="36BF9373">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change, climate change, youth, action, people, education, young, conference, world, say, public, work, unfccc, day, climate action</w:t>
            </w:r>
          </w:p>
        </w:tc>
      </w:tr>
      <w:tr w14:paraId="25496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5A0EE42E">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0873CFFF">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Non-state Action</w:t>
            </w:r>
          </w:p>
        </w:tc>
        <w:tc>
          <w:tcPr>
            <w:tcW w:w="2287" w:type="pct"/>
            <w:tcBorders>
              <w:top w:val="nil"/>
              <w:left w:val="nil"/>
              <w:bottom w:val="nil"/>
              <w:right w:val="nil"/>
            </w:tcBorders>
            <w:shd w:val="clear" w:color="auto" w:fill="FFFFFF"/>
            <w:vAlign w:val="center"/>
          </w:tcPr>
          <w:p w14:paraId="3434655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action, climate action, global, city, paris, capacity, champion, business, government, actor, building, initiative, change, level, non</w:t>
            </w:r>
          </w:p>
        </w:tc>
      </w:tr>
      <w:tr w14:paraId="2640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15" w:type="pct"/>
            <w:vMerge w:val="continue"/>
            <w:tcBorders>
              <w:top w:val="nil"/>
              <w:left w:val="nil"/>
              <w:bottom w:val="nil"/>
              <w:right w:val="nil"/>
            </w:tcBorders>
            <w:shd w:val="clear" w:color="auto" w:fill="FFFFFF"/>
            <w:vAlign w:val="center"/>
          </w:tcPr>
          <w:p w14:paraId="5A28E8B9">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nil"/>
              <w:right w:val="nil"/>
            </w:tcBorders>
            <w:shd w:val="clear" w:color="auto" w:fill="FFFFFF"/>
            <w:vAlign w:val="center"/>
          </w:tcPr>
          <w:p w14:paraId="23DD6ECF">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Clean Energy</w:t>
            </w:r>
          </w:p>
        </w:tc>
        <w:tc>
          <w:tcPr>
            <w:tcW w:w="2287" w:type="pct"/>
            <w:tcBorders>
              <w:top w:val="nil"/>
              <w:left w:val="nil"/>
              <w:bottom w:val="nil"/>
              <w:right w:val="nil"/>
            </w:tcBorders>
            <w:shd w:val="clear" w:color="auto" w:fill="FFFFFF"/>
            <w:vAlign w:val="center"/>
          </w:tcPr>
          <w:p w14:paraId="7B08DEF4">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energy, renewable, renewable energy, solar, power, clean, technology, efficiency, fuel, new, wind, energy efficiency, country, year, electricity</w:t>
            </w:r>
          </w:p>
        </w:tc>
      </w:tr>
      <w:tr w14:paraId="6D58E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00" w:hRule="atLeast"/>
        </w:trPr>
        <w:tc>
          <w:tcPr>
            <w:tcW w:w="1215" w:type="pct"/>
            <w:vMerge w:val="continue"/>
            <w:tcBorders>
              <w:top w:val="nil"/>
              <w:left w:val="nil"/>
              <w:bottom w:val="single" w:color="000000" w:sz="12" w:space="0"/>
              <w:right w:val="nil"/>
            </w:tcBorders>
            <w:shd w:val="clear" w:color="auto" w:fill="FFFFFF"/>
            <w:vAlign w:val="center"/>
          </w:tcPr>
          <w:p w14:paraId="432B3129">
            <w:pPr>
              <w:rPr>
                <w:rFonts w:hint="default" w:ascii="Times New Roman" w:hAnsi="Times New Roman" w:eastAsia="宋体" w:cs="Times New Roman"/>
                <w:b w:val="0"/>
                <w:i w:val="0"/>
                <w:iCs w:val="0"/>
                <w:color w:val="000000"/>
                <w:sz w:val="24"/>
                <w:szCs w:val="24"/>
                <w:u w:val="none"/>
              </w:rPr>
            </w:pPr>
          </w:p>
        </w:tc>
        <w:tc>
          <w:tcPr>
            <w:tcW w:w="1496" w:type="pct"/>
            <w:tcBorders>
              <w:top w:val="nil"/>
              <w:left w:val="nil"/>
              <w:bottom w:val="single" w:color="000000" w:sz="12" w:space="0"/>
              <w:right w:val="nil"/>
            </w:tcBorders>
            <w:shd w:val="clear" w:color="auto" w:fill="FFFFFF"/>
            <w:vAlign w:val="center"/>
          </w:tcPr>
          <w:p w14:paraId="60983E9E">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Gender &amp; Indigenous Inclusion</w:t>
            </w:r>
          </w:p>
        </w:tc>
        <w:tc>
          <w:tcPr>
            <w:tcW w:w="2287" w:type="pct"/>
            <w:tcBorders>
              <w:top w:val="nil"/>
              <w:left w:val="nil"/>
              <w:bottom w:val="single" w:color="000000" w:sz="12" w:space="0"/>
              <w:right w:val="nil"/>
            </w:tcBorders>
            <w:shd w:val="clear" w:color="auto" w:fill="FFFFFF"/>
            <w:vAlign w:val="center"/>
          </w:tcPr>
          <w:p w14:paraId="7C7E1682">
            <w:pPr>
              <w:keepNext w:val="0"/>
              <w:keepLines w:val="0"/>
              <w:widowControl/>
              <w:suppressLineNumbers w:val="0"/>
              <w:jc w:val="left"/>
              <w:textAlignment w:val="center"/>
              <w:rPr>
                <w:rFonts w:hint="default" w:ascii="Times New Roman" w:hAnsi="Times New Roman" w:eastAsia="宋体" w:cs="Times New Roman"/>
                <w:b w:val="0"/>
                <w:i w:val="0"/>
                <w:iCs w:val="0"/>
                <w:color w:val="000000"/>
                <w:sz w:val="24"/>
                <w:szCs w:val="24"/>
                <w:u w:val="none"/>
              </w:rPr>
            </w:pPr>
            <w:r>
              <w:rPr>
                <w:rFonts w:hint="default" w:ascii="Times New Roman" w:hAnsi="Times New Roman" w:eastAsia="宋体" w:cs="Times New Roman"/>
                <w:b w:val="0"/>
                <w:i w:val="0"/>
                <w:iCs w:val="0"/>
                <w:color w:val="000000"/>
                <w:kern w:val="0"/>
                <w:sz w:val="24"/>
                <w:szCs w:val="24"/>
                <w:u w:val="none"/>
                <w:bdr w:val="none" w:color="auto" w:sz="0" w:space="0"/>
                <w:lang w:val="en-US" w:eastAsia="zh-CN" w:bidi="ar"/>
              </w:rPr>
              <w:t>change, climate change, gender, woman, people, community, indigenous, action, impact, work, indigenous people, policy, knowledge, include, local</w:t>
            </w:r>
          </w:p>
        </w:tc>
      </w:tr>
    </w:tbl>
    <w:p w14:paraId="414B883A">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p>
    <w:p w14:paraId="7957A3FE">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b/>
          <w:bCs/>
          <w:sz w:val="24"/>
          <w:lang w:val="en-US" w:eastAsia="zh-CN"/>
        </w:rPr>
      </w:pPr>
      <w:r>
        <w:rPr>
          <w:rFonts w:hint="default" w:ascii="Times New Roman Regular" w:hAnsi="Times New Roman Regular" w:cs="Times New Roman Regular"/>
          <w:b/>
          <w:bCs/>
          <w:sz w:val="24"/>
          <w:lang w:val="en-US" w:eastAsia="zh-CN"/>
        </w:rPr>
        <w:t>Supplementary Line Charts of Frame Dynamics</w:t>
      </w:r>
    </w:p>
    <w:p w14:paraId="5D5A6749">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rPr>
          <w:rFonts w:hint="default" w:ascii="Times New Roman Regular" w:hAnsi="Times New Roman Regular" w:cs="Times New Roman Regular"/>
          <w:sz w:val="24"/>
          <w:lang w:val="en-US" w:eastAsia="zh-CN"/>
        </w:rPr>
        <w:t xml:space="preserve">These supplementary line charts provide a clearer visualization of the temporal patterns reported in the main text. Figure </w:t>
      </w:r>
      <w:r>
        <w:rPr>
          <w:rFonts w:hint="eastAsia" w:ascii="Times New Roman Regular" w:hAnsi="Times New Roman Regular" w:cs="Times New Roman Regular"/>
          <w:sz w:val="24"/>
          <w:lang w:val="en-US" w:eastAsia="zh-CN"/>
        </w:rPr>
        <w:t>2</w:t>
      </w:r>
      <w:r>
        <w:rPr>
          <w:rFonts w:hint="default" w:ascii="Times New Roman Regular" w:hAnsi="Times New Roman Regular" w:cs="Times New Roman Regular"/>
          <w:sz w:val="24"/>
          <w:lang w:val="en-US" w:eastAsia="zh-CN"/>
        </w:rPr>
        <w:t xml:space="preserve"> shows annual changes in within-frame cohesion, making it easier to compare the relative internal stability of the three frames over time. Figure </w:t>
      </w:r>
      <w:r>
        <w:rPr>
          <w:rFonts w:hint="eastAsia" w:ascii="Times New Roman Regular" w:hAnsi="Times New Roman Regular" w:cs="Times New Roman Regular"/>
          <w:sz w:val="24"/>
          <w:lang w:val="en-US" w:eastAsia="zh-CN"/>
        </w:rPr>
        <w:t>3</w:t>
      </w:r>
      <w:r>
        <w:rPr>
          <w:rFonts w:hint="default" w:ascii="Times New Roman Regular" w:hAnsi="Times New Roman Regular" w:cs="Times New Roman Regular"/>
          <w:sz w:val="24"/>
          <w:lang w:val="en-US" w:eastAsia="zh-CN"/>
        </w:rPr>
        <w:t xml:space="preserve"> shows annual changes in between-frame coupling, highlighting shifts in the strength of association across frame pairs. These figures do not introduce additional analyses beyond those reported in the main text; rather, they serve as visual complements to the results presented in the section on the longitudinal change and interaction of the three frames.</w:t>
      </w:r>
    </w:p>
    <w:p w14:paraId="71B01E2F">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eastAsia" w:ascii="Times New Roman Regular" w:hAnsi="Times New Roman Regular" w:cs="Times New Roman Regular"/>
          <w:b/>
          <w:bCs/>
          <w:sz w:val="24"/>
          <w:lang w:val="en-US" w:eastAsia="zh-CN"/>
        </w:rPr>
      </w:pPr>
      <w:r>
        <w:rPr>
          <w:rFonts w:hint="eastAsia" w:ascii="Times New Roman Regular" w:hAnsi="Times New Roman Regular" w:cs="Times New Roman Regular"/>
          <w:b/>
          <w:bCs/>
          <w:sz w:val="24"/>
          <w:lang w:val="en-US" w:eastAsia="zh-CN"/>
        </w:rPr>
        <w:t>Figure</w:t>
      </w:r>
      <w:r>
        <w:rPr>
          <w:rFonts w:hint="default" w:ascii="Times New Roman Regular" w:hAnsi="Times New Roman Regular" w:cs="Times New Roman Regular"/>
          <w:b/>
          <w:bCs/>
          <w:sz w:val="24"/>
          <w:lang w:val="en-US" w:eastAsia="zh-CN"/>
        </w:rPr>
        <w:t xml:space="preserve"> </w:t>
      </w:r>
      <w:r>
        <w:rPr>
          <w:rFonts w:hint="eastAsia" w:ascii="Times New Roman Regular" w:hAnsi="Times New Roman Regular" w:cs="Times New Roman Regular"/>
          <w:b/>
          <w:bCs/>
          <w:sz w:val="24"/>
          <w:lang w:val="en-US" w:eastAsia="zh-CN"/>
        </w:rPr>
        <w:t>2</w:t>
      </w:r>
    </w:p>
    <w:p w14:paraId="47DF8E34">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eastAsia" w:ascii="Times New Roman Regular" w:hAnsi="Times New Roman Regular" w:cs="Times New Roman Regular"/>
          <w:b w:val="0"/>
          <w:bCs w:val="0"/>
          <w:i/>
          <w:iCs/>
          <w:sz w:val="24"/>
          <w:lang w:val="en-US" w:eastAsia="zh-CN"/>
        </w:rPr>
      </w:pPr>
      <w:r>
        <w:rPr>
          <w:rFonts w:hint="eastAsia" w:ascii="Times New Roman Regular" w:hAnsi="Times New Roman Regular" w:cs="Times New Roman Regular"/>
          <w:b w:val="0"/>
          <w:bCs w:val="0"/>
          <w:i/>
          <w:iCs/>
          <w:sz w:val="24"/>
          <w:lang w:val="en-US" w:eastAsia="zh-CN"/>
        </w:rPr>
        <w:t>Annual within-frame cohesion of the three frames in UNFCCC news (2014–2024)</w:t>
      </w:r>
    </w:p>
    <w:p w14:paraId="1D08906D">
      <w:pPr>
        <w:rPr>
          <w:rFonts w:hint="default" w:ascii="Times New Roman Regular" w:hAnsi="Times New Roman Regular" w:cs="Times New Roman Regular"/>
          <w:sz w:val="24"/>
          <w:lang w:val="en-US" w:eastAsia="zh-CN"/>
        </w:rPr>
      </w:pPr>
      <w:r>
        <w:drawing>
          <wp:inline distT="0" distB="0" distL="114300" distR="114300">
            <wp:extent cx="5266690" cy="3016885"/>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5"/>
                    <a:srcRect t="5226"/>
                    <a:stretch>
                      <a:fillRect/>
                    </a:stretch>
                  </pic:blipFill>
                  <pic:spPr>
                    <a:xfrm>
                      <a:off x="0" y="0"/>
                      <a:ext cx="5266690" cy="3016885"/>
                    </a:xfrm>
                    <a:prstGeom prst="rect">
                      <a:avLst/>
                    </a:prstGeom>
                    <a:noFill/>
                    <a:ln>
                      <a:noFill/>
                    </a:ln>
                  </pic:spPr>
                </pic:pic>
              </a:graphicData>
            </a:graphic>
          </wp:inline>
        </w:drawing>
      </w:r>
    </w:p>
    <w:p w14:paraId="77FD1E03">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eastAsia" w:ascii="Times New Roman Regular" w:hAnsi="Times New Roman Regular" w:cs="Times New Roman Regular"/>
          <w:b/>
          <w:bCs/>
          <w:sz w:val="24"/>
          <w:lang w:val="en-US" w:eastAsia="zh-CN"/>
        </w:rPr>
      </w:pPr>
      <w:r>
        <w:rPr>
          <w:rFonts w:hint="eastAsia" w:ascii="Times New Roman Regular" w:hAnsi="Times New Roman Regular" w:cs="Times New Roman Regular"/>
          <w:b/>
          <w:bCs/>
          <w:sz w:val="24"/>
          <w:lang w:val="en-US" w:eastAsia="zh-CN"/>
        </w:rPr>
        <w:t>Figure</w:t>
      </w:r>
      <w:r>
        <w:rPr>
          <w:rFonts w:hint="default" w:ascii="Times New Roman Regular" w:hAnsi="Times New Roman Regular" w:cs="Times New Roman Regular"/>
          <w:b/>
          <w:bCs/>
          <w:sz w:val="24"/>
          <w:lang w:val="en-US" w:eastAsia="zh-CN"/>
        </w:rPr>
        <w:t xml:space="preserve"> </w:t>
      </w:r>
      <w:r>
        <w:rPr>
          <w:rFonts w:hint="eastAsia" w:ascii="Times New Roman Regular" w:hAnsi="Times New Roman Regular" w:cs="Times New Roman Regular"/>
          <w:b/>
          <w:bCs/>
          <w:sz w:val="24"/>
          <w:lang w:val="en-US" w:eastAsia="zh-CN"/>
        </w:rPr>
        <w:t>2</w:t>
      </w:r>
    </w:p>
    <w:p w14:paraId="6B8D281A">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eastAsia" w:ascii="Times New Roman Regular" w:hAnsi="Times New Roman Regular" w:cs="Times New Roman Regular"/>
          <w:b w:val="0"/>
          <w:bCs w:val="0"/>
          <w:i/>
          <w:iCs/>
          <w:sz w:val="24"/>
          <w:lang w:val="en-US" w:eastAsia="zh-CN"/>
        </w:rPr>
      </w:pPr>
      <w:r>
        <w:rPr>
          <w:rFonts w:hint="eastAsia" w:ascii="Times New Roman Regular" w:hAnsi="Times New Roman Regular" w:cs="Times New Roman Regular"/>
          <w:b w:val="0"/>
          <w:bCs w:val="0"/>
          <w:i/>
          <w:iCs/>
          <w:sz w:val="24"/>
          <w:lang w:val="en-US" w:eastAsia="zh-CN"/>
        </w:rPr>
        <w:t>Annual between-frame coupling among the three frames in UNFCCC news (2014–2024)</w:t>
      </w:r>
    </w:p>
    <w:p w14:paraId="4FCC05FE">
      <w:pPr>
        <w:keepNext w:val="0"/>
        <w:keepLines w:val="0"/>
        <w:pageBreakBefore w:val="0"/>
        <w:widowControl w:val="0"/>
        <w:kinsoku/>
        <w:wordWrap/>
        <w:overflowPunct/>
        <w:topLinePunct w:val="0"/>
        <w:autoSpaceDE/>
        <w:autoSpaceDN/>
        <w:bidi w:val="0"/>
        <w:adjustRightInd/>
        <w:snapToGrid w:val="0"/>
        <w:spacing w:line="480" w:lineRule="auto"/>
        <w:textAlignment w:val="auto"/>
        <w:rPr>
          <w:rFonts w:hint="default" w:ascii="Times New Roman Regular" w:hAnsi="Times New Roman Regular" w:cs="Times New Roman Regular"/>
          <w:sz w:val="24"/>
          <w:lang w:val="en-US" w:eastAsia="zh-CN"/>
        </w:rPr>
      </w:pPr>
      <w:r>
        <w:drawing>
          <wp:inline distT="0" distB="0" distL="114300" distR="114300">
            <wp:extent cx="5266690" cy="2998470"/>
            <wp:effectExtent l="0" t="0" r="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6"/>
                    <a:srcRect t="5805"/>
                    <a:stretch>
                      <a:fillRect/>
                    </a:stretch>
                  </pic:blipFill>
                  <pic:spPr>
                    <a:xfrm>
                      <a:off x="0" y="0"/>
                      <a:ext cx="5266690" cy="299847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20503050405090304"/>
    <w:charset w:val="00"/>
    <w:family w:val="auto"/>
    <w:pitch w:val="default"/>
    <w:sig w:usb0="00000000" w:usb1="00000000" w:usb2="00000001" w:usb3="00000000" w:csb0="400001BF" w:csb1="DFF70000"/>
  </w:font>
  <w:font w:name="Cambria Math">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FE6C00"/>
    <w:rsid w:val="15C33BC1"/>
    <w:rsid w:val="79FE6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2026-05-06T09:28:00Z</dcterms:created>
  <dc:creator>周奥成(2025311851)</dc:creator>
  <cp:lastModifiedBy>周奥成(2025311851)</cp:lastModifiedBy>
  <dcterms:modified xsi:type="dcterms:W3CDTF">2026-05-06T12:08:07Z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AA23F97607564D8B9024A280FCE61006_11</vt:lpwstr>
  </property>
  <property fmtid="{D5CDD505-2E9C-101B-9397-08002B2CF9AE}" pid="4" name="KSOTemplateDocerSaveRecord">
    <vt:lpwstr>eyJoZGlkIjoiMmVhOTc4MTQ5OGEzNDQxMzJhYjE2OGFkMDcyNDg2M2EiLCJ1c2VySWQiOiIxNzM5MDcxMjI0In0=</vt:lpwstr>
  </property>
</Properties>
</file>