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Additional file 3. SRQR (Standards for Reporting Qualitative Research) 21-item checklist</w:t>
      </w:r>
    </w:p>
    <w:p>
      <w:r>
        <w:rPr>
          <w:sz w:val="18"/>
        </w:rPr>
        <w:t>O'Brien BC, Harris IB, Beckman TJ, Reed DA, Cook DA. Standards for reporting qualitative research: a synthesis of recommendations. Acad Med. 2014;89(9):1245-51.</w:t>
      </w:r>
    </w:p>
    <w:p>
      <w:r>
        <w:rPr>
          <w:i/>
          <w:sz w:val="18"/>
        </w:rPr>
        <w:t>Locations refer to sections of the main manuscript and use the same section names as Additional file 2. Line numbers are continuous in the submitted manuscript file.</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pPr>
              <w:spacing w:after="40"/>
            </w:pPr>
            <w:r>
              <w:rPr>
                <w:b/>
                <w:sz w:val="18"/>
              </w:rPr>
              <w:t>No.</w:t>
            </w:r>
          </w:p>
        </w:tc>
        <w:tc>
          <w:tcPr>
            <w:tcW w:type="dxa" w:w="3408"/>
          </w:tcPr>
          <w:p>
            <w:pPr>
              <w:spacing w:after="40"/>
            </w:pPr>
            <w:r>
              <w:rPr>
                <w:b/>
                <w:sz w:val="18"/>
              </w:rPr>
              <w:t>SRQR item</w:t>
            </w:r>
          </w:p>
        </w:tc>
        <w:tc>
          <w:tcPr>
            <w:tcW w:type="dxa" w:w="3408"/>
          </w:tcPr>
          <w:p>
            <w:pPr>
              <w:spacing w:after="40"/>
            </w:pPr>
            <w:r>
              <w:rPr>
                <w:b/>
                <w:sz w:val="18"/>
              </w:rPr>
              <w:t>Where reported in the manuscript</w:t>
            </w:r>
          </w:p>
        </w:tc>
      </w:tr>
      <w:tr>
        <w:tc>
          <w:tcPr>
            <w:tcW w:type="dxa" w:w="10224"/>
            <w:gridSpan w:val="3"/>
          </w:tcPr>
          <w:p>
            <w:pPr>
              <w:spacing w:after="40"/>
            </w:pPr>
            <w:r>
              <w:rPr>
                <w:b/>
                <w:sz w:val="18"/>
              </w:rPr>
              <w:t>TITLE AND ABSTRACT</w:t>
            </w:r>
          </w:p>
        </w:tc>
      </w:tr>
      <w:tr>
        <w:tc>
          <w:tcPr>
            <w:tcW w:type="dxa" w:w="3408"/>
          </w:tcPr>
          <w:p>
            <w:pPr>
              <w:spacing w:after="40"/>
            </w:pPr>
            <w:r>
              <w:rPr>
                <w:sz w:val="18"/>
              </w:rPr>
              <w:t>1</w:t>
            </w:r>
          </w:p>
        </w:tc>
        <w:tc>
          <w:tcPr>
            <w:tcW w:type="dxa" w:w="3408"/>
          </w:tcPr>
          <w:p>
            <w:pPr>
              <w:spacing w:after="40"/>
            </w:pPr>
            <w:r>
              <w:rPr>
                <w:sz w:val="18"/>
              </w:rPr>
              <w:t>Title</w:t>
            </w:r>
          </w:p>
        </w:tc>
        <w:tc>
          <w:tcPr>
            <w:tcW w:type="dxa" w:w="3408"/>
          </w:tcPr>
          <w:p>
            <w:pPr>
              <w:spacing w:after="40"/>
            </w:pPr>
            <w:r>
              <w:rPr>
                <w:sz w:val="18"/>
              </w:rPr>
              <w:t>Title page. The title names the population (medical residents), the setting (the COVID-19 pandemic in Brazil) and the phenomena studied (ethical distress and psychological impact). The abstract identifies the study as phenomenological and qualitative in its first Methods sentence.</w:t>
            </w:r>
          </w:p>
        </w:tc>
      </w:tr>
      <w:tr>
        <w:tc>
          <w:tcPr>
            <w:tcW w:type="dxa" w:w="3408"/>
          </w:tcPr>
          <w:p>
            <w:pPr>
              <w:spacing w:after="40"/>
            </w:pPr>
            <w:r>
              <w:rPr>
                <w:sz w:val="18"/>
              </w:rPr>
              <w:t>2</w:t>
            </w:r>
          </w:p>
        </w:tc>
        <w:tc>
          <w:tcPr>
            <w:tcW w:type="dxa" w:w="3408"/>
          </w:tcPr>
          <w:p>
            <w:pPr>
              <w:spacing w:after="40"/>
            </w:pPr>
            <w:r>
              <w:rPr>
                <w:sz w:val="18"/>
              </w:rPr>
              <w:t>Abstract</w:t>
            </w:r>
          </w:p>
        </w:tc>
        <w:tc>
          <w:tcPr>
            <w:tcW w:type="dxa" w:w="3408"/>
          </w:tcPr>
          <w:p>
            <w:pPr>
              <w:spacing w:after="40"/>
            </w:pPr>
            <w:r>
              <w:rPr>
                <w:sz w:val="18"/>
              </w:rPr>
              <w:t>Abstract, structured as Background, Methods, Results and Conclusions in accordance with the journal format, and reporting the aim, the design, the six themes and what follows from them.</w:t>
            </w:r>
          </w:p>
        </w:tc>
      </w:tr>
      <w:tr>
        <w:tc>
          <w:tcPr>
            <w:tcW w:type="dxa" w:w="10224"/>
            <w:gridSpan w:val="3"/>
          </w:tcPr>
          <w:p>
            <w:pPr>
              <w:spacing w:after="40"/>
            </w:pPr>
            <w:r>
              <w:rPr>
                <w:b/>
                <w:sz w:val="18"/>
              </w:rPr>
              <w:t>INTRODUCTION</w:t>
            </w:r>
          </w:p>
        </w:tc>
      </w:tr>
      <w:tr>
        <w:tc>
          <w:tcPr>
            <w:tcW w:type="dxa" w:w="3408"/>
          </w:tcPr>
          <w:p>
            <w:pPr>
              <w:spacing w:after="40"/>
            </w:pPr>
            <w:r>
              <w:rPr>
                <w:sz w:val="18"/>
              </w:rPr>
              <w:t>3</w:t>
            </w:r>
          </w:p>
        </w:tc>
        <w:tc>
          <w:tcPr>
            <w:tcW w:type="dxa" w:w="3408"/>
          </w:tcPr>
          <w:p>
            <w:pPr>
              <w:spacing w:after="40"/>
            </w:pPr>
            <w:r>
              <w:rPr>
                <w:sz w:val="18"/>
              </w:rPr>
              <w:t>Problem formulation</w:t>
            </w:r>
          </w:p>
        </w:tc>
        <w:tc>
          <w:tcPr>
            <w:tcW w:type="dxa" w:w="3408"/>
          </w:tcPr>
          <w:p>
            <w:pPr>
              <w:spacing w:after="40"/>
            </w:pPr>
            <w:r>
              <w:rPr>
                <w:sz w:val="18"/>
              </w:rPr>
              <w:t>Background, paragraphs 1 to 3. Ethical analysis of the pandemic concentrated on triage and allocation; the everyday ethical experience of frontline residents is far less documented. Table 1 sets out working definitions of the five constructs used, which are often treated as interchangeable and are not.</w:t>
            </w:r>
          </w:p>
        </w:tc>
      </w:tr>
      <w:tr>
        <w:tc>
          <w:tcPr>
            <w:tcW w:type="dxa" w:w="3408"/>
          </w:tcPr>
          <w:p>
            <w:pPr>
              <w:spacing w:after="40"/>
            </w:pPr>
            <w:r>
              <w:rPr>
                <w:sz w:val="18"/>
              </w:rPr>
              <w:t>4</w:t>
            </w:r>
          </w:p>
        </w:tc>
        <w:tc>
          <w:tcPr>
            <w:tcW w:type="dxa" w:w="3408"/>
          </w:tcPr>
          <w:p>
            <w:pPr>
              <w:spacing w:after="40"/>
            </w:pPr>
            <w:r>
              <w:rPr>
                <w:sz w:val="18"/>
              </w:rPr>
              <w:t>Purpose or research question</w:t>
            </w:r>
          </w:p>
        </w:tc>
        <w:tc>
          <w:tcPr>
            <w:tcW w:type="dxa" w:w="3408"/>
          </w:tcPr>
          <w:p>
            <w:pPr>
              <w:spacing w:after="40"/>
            </w:pPr>
            <w:r>
              <w:rPr>
                <w:sz w:val="18"/>
              </w:rPr>
              <w:t>Background, final paragraph. The aim was to describe the ethical experience of frontline medical residents during the COVID-19 pandemic, as recounted by them. The institutional conditions reported here are a finding of the analysis and were not a predefined object of inquiry.</w:t>
            </w:r>
          </w:p>
        </w:tc>
      </w:tr>
      <w:tr>
        <w:tc>
          <w:tcPr>
            <w:tcW w:type="dxa" w:w="10224"/>
            <w:gridSpan w:val="3"/>
          </w:tcPr>
          <w:p>
            <w:pPr>
              <w:spacing w:after="40"/>
            </w:pPr>
            <w:r>
              <w:rPr>
                <w:b/>
                <w:sz w:val="18"/>
              </w:rPr>
              <w:t>METHODS</w:t>
            </w:r>
          </w:p>
        </w:tc>
      </w:tr>
      <w:tr>
        <w:tc>
          <w:tcPr>
            <w:tcW w:type="dxa" w:w="3408"/>
          </w:tcPr>
          <w:p>
            <w:pPr>
              <w:spacing w:after="40"/>
            </w:pPr>
            <w:r>
              <w:rPr>
                <w:sz w:val="18"/>
              </w:rPr>
              <w:t>5</w:t>
            </w:r>
          </w:p>
        </w:tc>
        <w:tc>
          <w:tcPr>
            <w:tcW w:type="dxa" w:w="3408"/>
          </w:tcPr>
          <w:p>
            <w:pPr>
              <w:spacing w:after="40"/>
            </w:pPr>
            <w:r>
              <w:rPr>
                <w:sz w:val="18"/>
              </w:rPr>
              <w:t>Qualitative approach and research paradigm</w:t>
            </w:r>
          </w:p>
        </w:tc>
        <w:tc>
          <w:tcPr>
            <w:tcW w:type="dxa" w:w="3408"/>
          </w:tcPr>
          <w:p>
            <w:pPr>
              <w:spacing w:after="40"/>
            </w:pPr>
            <w:r>
              <w:rPr>
                <w:sz w:val="18"/>
              </w:rPr>
              <w:t>Methods, opening paragraph and Data collection. Phenomenological qualitative design using the Inductive Process to Analyze the Structure of Lived Experience (IPSE), an inductive method developed for medical research, chosen because the object of study is first-person lived experience rather than the frequency or distribution of predefined categories. The stance is interpretive.</w:t>
            </w:r>
          </w:p>
        </w:tc>
      </w:tr>
      <w:tr>
        <w:tc>
          <w:tcPr>
            <w:tcW w:type="dxa" w:w="3408"/>
          </w:tcPr>
          <w:p>
            <w:pPr>
              <w:spacing w:after="40"/>
            </w:pPr>
            <w:r>
              <w:rPr>
                <w:sz w:val="18"/>
              </w:rPr>
              <w:t>6</w:t>
            </w:r>
          </w:p>
        </w:tc>
        <w:tc>
          <w:tcPr>
            <w:tcW w:type="dxa" w:w="3408"/>
          </w:tcPr>
          <w:p>
            <w:pPr>
              <w:spacing w:after="40"/>
            </w:pPr>
            <w:r>
              <w:rPr>
                <w:sz w:val="18"/>
              </w:rPr>
              <w:t>Researcher characteristics and reflexivity</w:t>
            </w:r>
          </w:p>
        </w:tc>
        <w:tc>
          <w:tcPr>
            <w:tcW w:type="dxa" w:w="3408"/>
          </w:tcPr>
          <w:p>
            <w:pPr>
              <w:spacing w:after="40"/>
            </w:pPr>
            <w:r>
              <w:rPr>
                <w:sz w:val="18"/>
              </w:rPr>
              <w:t>Methods, Researcher positionality and reflexivity. Eleven-member team, four men and seven women, residents and faculty from psychiatry and other specialties; the lead researcher is a psychiatrist with training in phenomenology. Several interviewers were themselves residents at HCFMUSP during the same period, and one served both as interviewer and, in a separate interview, as participant. The risks of over-identification and of leading are stated, together with the measures adopted: training and calibration before data collection, bracketing during coding, and deliberate search for disconfirming cases.</w:t>
            </w:r>
          </w:p>
        </w:tc>
      </w:tr>
      <w:tr>
        <w:tc>
          <w:tcPr>
            <w:tcW w:type="dxa" w:w="3408"/>
          </w:tcPr>
          <w:p>
            <w:pPr>
              <w:spacing w:after="40"/>
            </w:pPr>
            <w:r>
              <w:rPr>
                <w:sz w:val="18"/>
              </w:rPr>
              <w:t>7</w:t>
            </w:r>
          </w:p>
        </w:tc>
        <w:tc>
          <w:tcPr>
            <w:tcW w:type="dxa" w:w="3408"/>
          </w:tcPr>
          <w:p>
            <w:pPr>
              <w:spacing w:after="40"/>
            </w:pPr>
            <w:r>
              <w:rPr>
                <w:sz w:val="18"/>
              </w:rPr>
              <w:t>Context</w:t>
            </w:r>
          </w:p>
        </w:tc>
        <w:tc>
          <w:tcPr>
            <w:tcW w:type="dxa" w:w="3408"/>
          </w:tcPr>
          <w:p>
            <w:pPr>
              <w:spacing w:after="40"/>
            </w:pPr>
            <w:r>
              <w:rPr>
                <w:sz w:val="18"/>
              </w:rPr>
              <w:t>Methods, opening paragraph and Participants and sampling strategy; Limitations, first paragraph. A large, research-intensive public university hospital that served as the primary state-level referral centre for severe COVID-19, with approximately 500 beds reconfigured for the pandemic response, existing teaching structures and a clinical ethics infrastructure. Figure 2 situates the data-collection window within the course of the pandemic in Brazil.</w:t>
            </w:r>
          </w:p>
        </w:tc>
      </w:tr>
      <w:tr>
        <w:tc>
          <w:tcPr>
            <w:tcW w:type="dxa" w:w="3408"/>
          </w:tcPr>
          <w:p>
            <w:pPr>
              <w:spacing w:after="40"/>
            </w:pPr>
            <w:r>
              <w:rPr>
                <w:sz w:val="18"/>
              </w:rPr>
              <w:t>8</w:t>
            </w:r>
          </w:p>
        </w:tc>
        <w:tc>
          <w:tcPr>
            <w:tcW w:type="dxa" w:w="3408"/>
          </w:tcPr>
          <w:p>
            <w:pPr>
              <w:spacing w:after="40"/>
            </w:pPr>
            <w:r>
              <w:rPr>
                <w:sz w:val="18"/>
              </w:rPr>
              <w:t>Sampling strategy</w:t>
            </w:r>
          </w:p>
        </w:tc>
        <w:tc>
          <w:tcPr>
            <w:tcW w:type="dxa" w:w="3408"/>
          </w:tcPr>
          <w:p>
            <w:pPr>
              <w:spacing w:after="40"/>
            </w:pPr>
            <w:r>
              <w:rPr>
                <w:sz w:val="18"/>
              </w:rPr>
              <w:t>Methods, Participants and sampling strategy, for the purposive and snowball strategy, the recruitment denominators and the eight non-participations; Methods, Data analysis, for the criterion on further sampling. Saturation was assessed after all 33 interviews had been coded and is reported as a property of the analysed corpus rather than as a specific interview at which it was reached.</w:t>
            </w:r>
          </w:p>
        </w:tc>
      </w:tr>
      <w:tr>
        <w:tc>
          <w:tcPr>
            <w:tcW w:type="dxa" w:w="3408"/>
          </w:tcPr>
          <w:p>
            <w:pPr>
              <w:spacing w:after="40"/>
            </w:pPr>
            <w:r>
              <w:rPr>
                <w:sz w:val="18"/>
              </w:rPr>
              <w:t>9</w:t>
            </w:r>
          </w:p>
        </w:tc>
        <w:tc>
          <w:tcPr>
            <w:tcW w:type="dxa" w:w="3408"/>
          </w:tcPr>
          <w:p>
            <w:pPr>
              <w:spacing w:after="40"/>
            </w:pPr>
            <w:r>
              <w:rPr>
                <w:sz w:val="18"/>
              </w:rPr>
              <w:t>Ethical issues pertaining to human subjects</w:t>
            </w:r>
          </w:p>
        </w:tc>
        <w:tc>
          <w:tcPr>
            <w:tcW w:type="dxa" w:w="3408"/>
          </w:tcPr>
          <w:p>
            <w:pPr>
              <w:spacing w:after="40"/>
            </w:pPr>
            <w:r>
              <w:rPr>
                <w:sz w:val="18"/>
              </w:rPr>
              <w:t>Methods, Participants and sampling strategy, and Declarations, Ethics approval and consent to participate. Approved by the Research Ethics Committee of HCFMUSP and by the Brazilian National Research Ethics Commission. All participants gave written informed consent for participation and for the publication of anonymised quotations. Recordings were held on encrypted institutional storage under the Brazilian General Data Protection Law, and the quotations carry no participant identifier.</w:t>
            </w:r>
          </w:p>
        </w:tc>
      </w:tr>
      <w:tr>
        <w:tc>
          <w:tcPr>
            <w:tcW w:type="dxa" w:w="3408"/>
          </w:tcPr>
          <w:p>
            <w:pPr>
              <w:spacing w:after="40"/>
            </w:pPr>
            <w:r>
              <w:rPr>
                <w:sz w:val="18"/>
              </w:rPr>
              <w:t>10</w:t>
            </w:r>
          </w:p>
        </w:tc>
        <w:tc>
          <w:tcPr>
            <w:tcW w:type="dxa" w:w="3408"/>
          </w:tcPr>
          <w:p>
            <w:pPr>
              <w:spacing w:after="40"/>
            </w:pPr>
            <w:r>
              <w:rPr>
                <w:sz w:val="18"/>
              </w:rPr>
              <w:t>Data collection methods</w:t>
            </w:r>
          </w:p>
        </w:tc>
        <w:tc>
          <w:tcPr>
            <w:tcW w:type="dxa" w:w="3408"/>
          </w:tcPr>
          <w:p>
            <w:pPr>
              <w:spacing w:after="40"/>
            </w:pPr>
            <w:r>
              <w:rPr>
                <w:sz w:val="18"/>
              </w:rPr>
              <w:t>Methods, Data collection, and Interview procedures and transcription. Individual semi-structured interviews conducted remotely between July 2020 and January 2021 by trained interviewers, each participant once, with field notes taken during and after sessions. Coding and analysis followed data collection rather than running in parallel with it, which is stated explicitly.</w:t>
            </w:r>
          </w:p>
        </w:tc>
      </w:tr>
      <w:tr>
        <w:tc>
          <w:tcPr>
            <w:tcW w:type="dxa" w:w="3408"/>
          </w:tcPr>
          <w:p>
            <w:pPr>
              <w:spacing w:after="40"/>
            </w:pPr>
            <w:r>
              <w:rPr>
                <w:sz w:val="18"/>
              </w:rPr>
              <w:t>11</w:t>
            </w:r>
          </w:p>
        </w:tc>
        <w:tc>
          <w:tcPr>
            <w:tcW w:type="dxa" w:w="3408"/>
          </w:tcPr>
          <w:p>
            <w:pPr>
              <w:spacing w:after="40"/>
            </w:pPr>
            <w:r>
              <w:rPr>
                <w:sz w:val="18"/>
              </w:rPr>
              <w:t>Data collection instruments and technologies</w:t>
            </w:r>
          </w:p>
        </w:tc>
        <w:tc>
          <w:tcPr>
            <w:tcW w:type="dxa" w:w="3408"/>
          </w:tcPr>
          <w:p>
            <w:pPr>
              <w:spacing w:after="40"/>
            </w:pPr>
            <w:r>
              <w:rPr>
                <w:sz w:val="18"/>
              </w:rPr>
              <w:t>Methods, Data collection, and Interview procedures and transcription. The full semi-structured interview guide is provided as Additional file 1. The guide was calibrated in a training round before data collection and was not modified thereafter. Interviews were held on an institutional, access-controlled video-conferencing platform and recorded.</w:t>
            </w:r>
          </w:p>
        </w:tc>
      </w:tr>
      <w:tr>
        <w:tc>
          <w:tcPr>
            <w:tcW w:type="dxa" w:w="3408"/>
          </w:tcPr>
          <w:p>
            <w:pPr>
              <w:spacing w:after="40"/>
            </w:pPr>
            <w:r>
              <w:rPr>
                <w:sz w:val="18"/>
              </w:rPr>
              <w:t>12</w:t>
            </w:r>
          </w:p>
        </w:tc>
        <w:tc>
          <w:tcPr>
            <w:tcW w:type="dxa" w:w="3408"/>
          </w:tcPr>
          <w:p>
            <w:pPr>
              <w:spacing w:after="40"/>
            </w:pPr>
            <w:r>
              <w:rPr>
                <w:sz w:val="18"/>
              </w:rPr>
              <w:t>Units of study</w:t>
            </w:r>
          </w:p>
        </w:tc>
        <w:tc>
          <w:tcPr>
            <w:tcW w:type="dxa" w:w="3408"/>
          </w:tcPr>
          <w:p>
            <w:pPr>
              <w:spacing w:after="40"/>
            </w:pPr>
            <w:r>
              <w:rPr>
                <w:sz w:val="18"/>
              </w:rPr>
              <w:t>Methods, Participants and sampling strategy; Table 2. Thirty-three medical residents, 20 men and 13 women, across seven specialties. Two roles during the pandemic are distinguished in prose and in the table: 23 in direct clinical care, of whom 8 were psychiatry residents reassigned to general medical duties, and 10 providing psychiatric support to hospital staff.</w:t>
            </w:r>
          </w:p>
        </w:tc>
      </w:tr>
      <w:tr>
        <w:tc>
          <w:tcPr>
            <w:tcW w:type="dxa" w:w="3408"/>
          </w:tcPr>
          <w:p>
            <w:pPr>
              <w:spacing w:after="40"/>
            </w:pPr>
            <w:r>
              <w:rPr>
                <w:sz w:val="18"/>
              </w:rPr>
              <w:t>13</w:t>
            </w:r>
          </w:p>
        </w:tc>
        <w:tc>
          <w:tcPr>
            <w:tcW w:type="dxa" w:w="3408"/>
          </w:tcPr>
          <w:p>
            <w:pPr>
              <w:spacing w:after="40"/>
            </w:pPr>
            <w:r>
              <w:rPr>
                <w:sz w:val="18"/>
              </w:rPr>
              <w:t>Data processing</w:t>
            </w:r>
          </w:p>
        </w:tc>
        <w:tc>
          <w:tcPr>
            <w:tcW w:type="dxa" w:w="3408"/>
          </w:tcPr>
          <w:p>
            <w:pPr>
              <w:spacing w:after="40"/>
            </w:pPr>
            <w:r>
              <w:rPr>
                <w:sz w:val="18"/>
              </w:rPr>
              <w:t>Methods, Interview procedures and transcription. Professional transcription under a confidentiality agreement; one recording affected by a technical fault was transcribed in its intelligible portions and analysed alongside the rest. Interviews were transcribed and coded in the original Portuguese; only the quotations selected for presentation were translated into English by a professional translator and checked against the originals by a bilingual member of the team. Quotations were lightly edited for readability against the Portuguese transcripts and are presented without participant identifiers.</w:t>
            </w:r>
          </w:p>
        </w:tc>
      </w:tr>
      <w:tr>
        <w:tc>
          <w:tcPr>
            <w:tcW w:type="dxa" w:w="3408"/>
          </w:tcPr>
          <w:p>
            <w:pPr>
              <w:spacing w:after="40"/>
            </w:pPr>
            <w:r>
              <w:rPr>
                <w:sz w:val="18"/>
              </w:rPr>
              <w:t>14</w:t>
            </w:r>
          </w:p>
        </w:tc>
        <w:tc>
          <w:tcPr>
            <w:tcW w:type="dxa" w:w="3408"/>
          </w:tcPr>
          <w:p>
            <w:pPr>
              <w:spacing w:after="40"/>
            </w:pPr>
            <w:r>
              <w:rPr>
                <w:sz w:val="18"/>
              </w:rPr>
              <w:t>Data analysis</w:t>
            </w:r>
          </w:p>
        </w:tc>
        <w:tc>
          <w:tcPr>
            <w:tcW w:type="dxa" w:w="3408"/>
          </w:tcPr>
          <w:p>
            <w:pPr>
              <w:spacing w:after="40"/>
            </w:pPr>
            <w:r>
              <w:rPr>
                <w:sz w:val="18"/>
              </w:rPr>
              <w:t>Methods, Data analysis. Passages conveying the subjective and existential dimensions of experience were identified and coded manually by eight members of the team, without software. An internal coding language was developed from recurrent experiential markers and applied across all interviews. Themes were derived inductively and agreed in three documented consensus meetings, in which the themes reported here were also distinguished from those assigned to the two companion articles from the same dataset.</w:t>
            </w:r>
          </w:p>
        </w:tc>
      </w:tr>
      <w:tr>
        <w:tc>
          <w:tcPr>
            <w:tcW w:type="dxa" w:w="3408"/>
          </w:tcPr>
          <w:p>
            <w:pPr>
              <w:spacing w:after="40"/>
            </w:pPr>
            <w:r>
              <w:rPr>
                <w:sz w:val="18"/>
              </w:rPr>
              <w:t>15</w:t>
            </w:r>
          </w:p>
        </w:tc>
        <w:tc>
          <w:tcPr>
            <w:tcW w:type="dxa" w:w="3408"/>
          </w:tcPr>
          <w:p>
            <w:pPr>
              <w:spacing w:after="40"/>
            </w:pPr>
            <w:r>
              <w:rPr>
                <w:sz w:val="18"/>
              </w:rPr>
              <w:t>Techniques to enhance trustworthiness</w:t>
            </w:r>
          </w:p>
        </w:tc>
        <w:tc>
          <w:tcPr>
            <w:tcW w:type="dxa" w:w="3408"/>
          </w:tcPr>
          <w:p>
            <w:pPr>
              <w:spacing w:after="40"/>
            </w:pPr>
            <w:r>
              <w:rPr>
                <w:sz w:val="18"/>
              </w:rPr>
              <w:t>Methods, Data analysis, and Researcher positionality and reflexivity. Investigator triangulation across eight coders, an audit trail of written minutes from three consensus meetings, critical reflection on preconceptions and theoretical commitments, deliberate attention to disconfirming cases, and explicit consideration of transferability. Transcripts were not returned to participants and no formal member checking was undertaken, which is stated rather than implied.</w:t>
            </w:r>
          </w:p>
        </w:tc>
      </w:tr>
      <w:tr>
        <w:tc>
          <w:tcPr>
            <w:tcW w:type="dxa" w:w="10224"/>
            <w:gridSpan w:val="3"/>
          </w:tcPr>
          <w:p>
            <w:pPr>
              <w:spacing w:after="40"/>
            </w:pPr>
            <w:r>
              <w:rPr>
                <w:b/>
                <w:sz w:val="18"/>
              </w:rPr>
              <w:t>RESULTS AND FINDINGS</w:t>
            </w:r>
          </w:p>
        </w:tc>
      </w:tr>
      <w:tr>
        <w:tc>
          <w:tcPr>
            <w:tcW w:type="dxa" w:w="3408"/>
          </w:tcPr>
          <w:p>
            <w:pPr>
              <w:spacing w:after="40"/>
            </w:pPr>
            <w:r>
              <w:rPr>
                <w:sz w:val="18"/>
              </w:rPr>
              <w:t>16</w:t>
            </w:r>
          </w:p>
        </w:tc>
        <w:tc>
          <w:tcPr>
            <w:tcW w:type="dxa" w:w="3408"/>
          </w:tcPr>
          <w:p>
            <w:pPr>
              <w:spacing w:after="40"/>
            </w:pPr>
            <w:r>
              <w:rPr>
                <w:sz w:val="18"/>
              </w:rPr>
              <w:t>Synthesis and interpretation</w:t>
            </w:r>
          </w:p>
        </w:tc>
        <w:tc>
          <w:tcPr>
            <w:tcW w:type="dxa" w:w="3408"/>
          </w:tcPr>
          <w:p>
            <w:pPr>
              <w:spacing w:after="40"/>
            </w:pPr>
            <w:r>
              <w:rPr>
                <w:sz w:val="18"/>
              </w:rPr>
              <w:t>Results, six themes and Synthesis of thematic axes, which sets out how the themes relate to one another; Figure 1 presents the resulting model. Interpretation is deferred to the Discussion, where each theme is taken up in turn, restated, discussed and only then read against theory.</w:t>
            </w:r>
          </w:p>
        </w:tc>
      </w:tr>
      <w:tr>
        <w:tc>
          <w:tcPr>
            <w:tcW w:type="dxa" w:w="3408"/>
          </w:tcPr>
          <w:p>
            <w:pPr>
              <w:spacing w:after="40"/>
            </w:pPr>
            <w:r>
              <w:rPr>
                <w:sz w:val="18"/>
              </w:rPr>
              <w:t>17</w:t>
            </w:r>
          </w:p>
        </w:tc>
        <w:tc>
          <w:tcPr>
            <w:tcW w:type="dxa" w:w="3408"/>
          </w:tcPr>
          <w:p>
            <w:pPr>
              <w:spacing w:after="40"/>
            </w:pPr>
            <w:r>
              <w:rPr>
                <w:sz w:val="18"/>
              </w:rPr>
              <w:t>Links to empirical data</w:t>
            </w:r>
          </w:p>
        </w:tc>
        <w:tc>
          <w:tcPr>
            <w:tcW w:type="dxa" w:w="3408"/>
          </w:tcPr>
          <w:p>
            <w:pPr>
              <w:spacing w:after="40"/>
            </w:pPr>
            <w:r>
              <w:rPr>
                <w:sz w:val="18"/>
              </w:rPr>
              <w:t>Results. Every theme is presented as a short frame followed by verbatim quotations, each identified by participant code. No theme rests on a single account, and the density of cross-thematic citation is stated in Methods, Data analysis.</w:t>
            </w:r>
          </w:p>
        </w:tc>
      </w:tr>
      <w:tr>
        <w:tc>
          <w:tcPr>
            <w:tcW w:type="dxa" w:w="10224"/>
            <w:gridSpan w:val="3"/>
          </w:tcPr>
          <w:p>
            <w:pPr>
              <w:spacing w:after="40"/>
            </w:pPr>
            <w:r>
              <w:rPr>
                <w:b/>
                <w:sz w:val="18"/>
              </w:rPr>
              <w:t>DISCUSSION</w:t>
            </w:r>
          </w:p>
        </w:tc>
      </w:tr>
      <w:tr>
        <w:tc>
          <w:tcPr>
            <w:tcW w:type="dxa" w:w="3408"/>
          </w:tcPr>
          <w:p>
            <w:pPr>
              <w:spacing w:after="40"/>
            </w:pPr>
            <w:r>
              <w:rPr>
                <w:sz w:val="18"/>
              </w:rPr>
              <w:t>18</w:t>
            </w:r>
          </w:p>
        </w:tc>
        <w:tc>
          <w:tcPr>
            <w:tcW w:type="dxa" w:w="3408"/>
          </w:tcPr>
          <w:p>
            <w:pPr>
              <w:spacing w:after="40"/>
            </w:pPr>
            <w:r>
              <w:rPr>
                <w:sz w:val="18"/>
              </w:rPr>
              <w:t>Integration with prior work, implications, transferability and contribution</w:t>
            </w:r>
          </w:p>
        </w:tc>
        <w:tc>
          <w:tcPr>
            <w:tcW w:type="dxa" w:w="3408"/>
          </w:tcPr>
          <w:p>
            <w:pPr>
              <w:spacing w:after="40"/>
            </w:pPr>
            <w:r>
              <w:rPr>
                <w:sz w:val="18"/>
              </w:rPr>
              <w:t>Discussion, six subsections and closing paragraph; Implications for medical education and institutional governance. The findings are read against moral distress and moral residue, ethical loneliness, the ethics of care and moral injury, and are related to the quantitative and qualitative literature on healthcare workers during the pandemic, including a companion quantitative study conducted at the same institution. The contribution claimed is the portrayal of moral suffering as a structural and recurring feature of care in crisis, located in the relational conditions of the work.</w:t>
            </w:r>
          </w:p>
        </w:tc>
      </w:tr>
      <w:tr>
        <w:tc>
          <w:tcPr>
            <w:tcW w:type="dxa" w:w="3408"/>
          </w:tcPr>
          <w:p>
            <w:pPr>
              <w:spacing w:after="40"/>
            </w:pPr>
            <w:r>
              <w:rPr>
                <w:sz w:val="18"/>
              </w:rPr>
              <w:t>19</w:t>
            </w:r>
          </w:p>
        </w:tc>
        <w:tc>
          <w:tcPr>
            <w:tcW w:type="dxa" w:w="3408"/>
          </w:tcPr>
          <w:p>
            <w:pPr>
              <w:spacing w:after="40"/>
            </w:pPr>
            <w:r>
              <w:rPr>
                <w:sz w:val="18"/>
              </w:rPr>
              <w:t>Limitations</w:t>
            </w:r>
          </w:p>
        </w:tc>
        <w:tc>
          <w:tcPr>
            <w:tcW w:type="dxa" w:w="3408"/>
          </w:tcPr>
          <w:p>
            <w:pPr>
              <w:spacing w:after="40"/>
            </w:pPr>
            <w:r>
              <w:rPr>
                <w:sz w:val="18"/>
              </w:rPr>
              <w:t>Limitations, a standalone section in four paragraphs: single centre and institutional context; sampling strategy and the predominance of psychiatry, with its analytic consequence; the temporal limitation, since interviews were conducted within the period they describe rather than after it; and the restriction to medical residents, together with the statement that the model in Figure 1 is interpretive and asserts neither causality nor temporal sequence. Future directions sets out what would be needed to answer the questions these data raise.</w:t>
            </w:r>
          </w:p>
        </w:tc>
      </w:tr>
      <w:tr>
        <w:tc>
          <w:tcPr>
            <w:tcW w:type="dxa" w:w="10224"/>
            <w:gridSpan w:val="3"/>
          </w:tcPr>
          <w:p>
            <w:pPr>
              <w:spacing w:after="40"/>
            </w:pPr>
            <w:r>
              <w:rPr>
                <w:b/>
                <w:sz w:val="18"/>
              </w:rPr>
              <w:t>OTHER</w:t>
            </w:r>
          </w:p>
        </w:tc>
      </w:tr>
      <w:tr>
        <w:tc>
          <w:tcPr>
            <w:tcW w:type="dxa" w:w="3408"/>
          </w:tcPr>
          <w:p>
            <w:pPr>
              <w:spacing w:after="40"/>
            </w:pPr>
            <w:r>
              <w:rPr>
                <w:sz w:val="18"/>
              </w:rPr>
              <w:t>20</w:t>
            </w:r>
          </w:p>
        </w:tc>
        <w:tc>
          <w:tcPr>
            <w:tcW w:type="dxa" w:w="3408"/>
          </w:tcPr>
          <w:p>
            <w:pPr>
              <w:spacing w:after="40"/>
            </w:pPr>
            <w:r>
              <w:rPr>
                <w:sz w:val="18"/>
              </w:rPr>
              <w:t>Conflicts of interest</w:t>
            </w:r>
          </w:p>
        </w:tc>
        <w:tc>
          <w:tcPr>
            <w:tcW w:type="dxa" w:w="3408"/>
          </w:tcPr>
          <w:p>
            <w:pPr>
              <w:spacing w:after="40"/>
            </w:pPr>
            <w:r>
              <w:rPr>
                <w:sz w:val="18"/>
              </w:rPr>
              <w:t>Declarations, Competing interests. The authors declare no competing interests. The insider position of part of the interviewing team is treated separately, and reflexively, in Methods, Researcher positionality and reflexivity.</w:t>
            </w:r>
          </w:p>
        </w:tc>
      </w:tr>
      <w:tr>
        <w:tc>
          <w:tcPr>
            <w:tcW w:type="dxa" w:w="3408"/>
          </w:tcPr>
          <w:p>
            <w:pPr>
              <w:spacing w:after="40"/>
            </w:pPr>
            <w:r>
              <w:rPr>
                <w:sz w:val="18"/>
              </w:rPr>
              <w:t>21</w:t>
            </w:r>
          </w:p>
        </w:tc>
        <w:tc>
          <w:tcPr>
            <w:tcW w:type="dxa" w:w="3408"/>
          </w:tcPr>
          <w:p>
            <w:pPr>
              <w:spacing w:after="40"/>
            </w:pPr>
            <w:r>
              <w:rPr>
                <w:sz w:val="18"/>
              </w:rPr>
              <w:t>Funding</w:t>
            </w:r>
          </w:p>
        </w:tc>
        <w:tc>
          <w:tcPr>
            <w:tcW w:type="dxa" w:w="3408"/>
          </w:tcPr>
          <w:p>
            <w:pPr>
              <w:spacing w:after="40"/>
            </w:pPr>
            <w:r>
              <w:rPr>
                <w:sz w:val="18"/>
              </w:rPr>
              <w:t>Declarations, Funding. The authors received no specific funding for this work, and no funder had any role in data collection, interpretation or reporting.</w:t>
            </w:r>
          </w:p>
        </w:tc>
      </w:tr>
    </w:tbl>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
  <Pages>0</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Guimarães-Fernandes</dc:creator>
  <cp:keywords/>
  <dc:description/>
  <cp:lastModifiedBy>Flávio Guimarães-Fernandes</cp:lastModifiedBy>
  <cp:revision>1</cp:revision>
  <dcterms:created xsi:type="dcterms:W3CDTF">2026-08-12T12:00:00Z</dcterms:created>
  <dcterms:modified xsi:type="dcterms:W3CDTF">2026-08-12T12:00:00Z</dcterms:modified>
  <cp:category/>
</cp:coreProperties>
</file>