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5A45E" w14:textId="77777777" w:rsidR="00144254" w:rsidRPr="00144254" w:rsidRDefault="00144254" w:rsidP="00144254">
      <w:pPr>
        <w:rPr>
          <w:b/>
          <w:bCs/>
          <w:lang w:val="en-CA"/>
        </w:rPr>
      </w:pPr>
      <w:r w:rsidRPr="00144254">
        <w:rPr>
          <w:b/>
          <w:bCs/>
          <w:lang w:val="en-CA"/>
        </w:rPr>
        <w:t>Supplement</w:t>
      </w:r>
    </w:p>
    <w:p w14:paraId="65FF5887" w14:textId="77777777" w:rsidR="00144254" w:rsidRPr="00144254" w:rsidRDefault="00144254" w:rsidP="00144254">
      <w:pPr>
        <w:rPr>
          <w:lang w:val="en-CA"/>
        </w:rPr>
      </w:pPr>
      <w:r w:rsidRPr="00144254">
        <w:rPr>
          <w:b/>
          <w:lang w:val="en-CA"/>
        </w:rPr>
        <w:t>Table 1. Denominators Required for Fontan-Pathway Decision-Making</w:t>
      </w:r>
    </w:p>
    <w:p w14:paraId="0FF41D98" w14:textId="77777777" w:rsidR="00144254" w:rsidRPr="00144254" w:rsidRDefault="00144254" w:rsidP="00144254">
      <w:pPr>
        <w:rPr>
          <w:lang w:val="en-CA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3096"/>
        <w:gridCol w:w="3096"/>
        <w:gridCol w:w="3096"/>
        <w:gridCol w:w="3096"/>
      </w:tblGrid>
      <w:tr w:rsidR="00144254" w:rsidRPr="00144254" w14:paraId="059D4CC4" w14:textId="77777777">
        <w:trPr>
          <w:cantSplit/>
          <w:tblHeader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3200EF0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t>Denominator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E9C1F0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t>Who Is Included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5C1E93B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t>Who Is Excluded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1D5C7E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t>Best Used For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72225F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t>Not Appropriate For</w:t>
            </w:r>
          </w:p>
        </w:tc>
      </w:tr>
      <w:tr w:rsidR="00144254" w:rsidRPr="00144254" w14:paraId="4F9CA1F7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7E969BCB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t>Current Fontan survivor prevalence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72E3BB78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People alive today with completed Fontan circulation, regardless of age, surgical era, anatomy, or current follow-up status.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259BED32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Infants and children born with Fontan-pathway anatomy who have not yet reached Fontan; patients who died before Fontan completion; patients managed with Glenn-only palliation; patients transplanted before Fontan; undiagnosed patients; patients lost before reaching surgical care.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69E761B7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Planning Fontan-specific clinical services; adult congenital heart disease capacity; Fontan surveillance programs; FALD screening; arrhythmia and heart failure follow-up; Fontan-specific clinical trials; health-system resource planning for known survivors.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6C9C9F6A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Estimating total single-ventricle disease burden; estimating future Fontan demand; assessing global surgical access; quantifying unmet need among patients who never reach Fontan; pharmaceutical or funding analyses that depend on future or latent population size.</w:t>
            </w:r>
          </w:p>
        </w:tc>
      </w:tr>
      <w:tr w:rsidR="00144254" w:rsidRPr="00144254" w14:paraId="16A9D248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46FE4F55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lastRenderedPageBreak/>
              <w:t>Diagnosed Fontan-pathway candidate population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2536381D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 xml:space="preserve">Patients diagnosed with congenital cardiac anatomy that may lead to staged single-ventricle palliation, including HLHS, tricuspid atresia, double inlet left ventricle, PA/IVS, unbalanced AVSD, functionally univentricular DORV, heterotaxy-associated single-ventricle physiology, severe Ebstein anomaly, and selected </w:t>
            </w:r>
            <w:proofErr w:type="spellStart"/>
            <w:r w:rsidRPr="00144254">
              <w:rPr>
                <w:lang w:val="en-CA"/>
              </w:rPr>
              <w:t>ccTGA</w:t>
            </w:r>
            <w:proofErr w:type="spellEnd"/>
            <w:r w:rsidRPr="00144254">
              <w:rPr>
                <w:lang w:val="en-CA"/>
              </w:rPr>
              <w:t xml:space="preserve"> pathways.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2C1367E9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Undiagnosed patients; patients miscoded under non-specific CHD categories; patients in regions without adequate prenatal/postnatal diagnostic access; patients whose anatomy is not recognized as Fontan-pathway relevant.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7F861208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Estimating clinical pipeline; planning pediatric cardiac surgery capacity; understanding future Fontan inflow; designing early-life interventions; anticipating neurodevelopmental, nutritional, transplant, and palliative care needs.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556ECC8B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Counting current Fontan survivors; estimating Fontan-specific adult surveillance burden; assuming all candidates will complete Fontan; direct market-sizing for therapies indicated only for completed Fontan physiology.</w:t>
            </w:r>
          </w:p>
        </w:tc>
      </w:tr>
      <w:tr w:rsidR="00144254" w:rsidRPr="00144254" w14:paraId="74133B03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0BF4C936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lastRenderedPageBreak/>
              <w:t>Annual Fontan-pathway candidate births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48D7C0CF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 xml:space="preserve">Estimated annual live births with cardiac anatomies that can result in Fontan-pathway candidacy, </w:t>
            </w:r>
            <w:proofErr w:type="gramStart"/>
            <w:r w:rsidRPr="00144254">
              <w:rPr>
                <w:lang w:val="en-CA"/>
              </w:rPr>
              <w:t>whether or not</w:t>
            </w:r>
            <w:proofErr w:type="gramEnd"/>
            <w:r w:rsidRPr="00144254">
              <w:rPr>
                <w:lang w:val="en-CA"/>
              </w:rPr>
              <w:t xml:space="preserve"> the infant is diagnosed, treated, or survives to staged palliation.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180C94C7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Fetal losses, elective terminations where not included in live-birth data, stillbirths depending on jurisdictional definitions, and cases missed by birth-defect surveillance systems.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35B44606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Measuring incident disease burden; global health planning; estimating unmet diagnostic and surgical need; projecting future Fontan/single-ventricle populations; comparing burden across countries and income settings; advocacy and funding prioritization.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5FEF22B4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Estimating the number of living Fontan survivors; assuming surgical completion; planning current adult Fontan clinic capacity; determining current prevalence without survival and attrition modelling.</w:t>
            </w:r>
          </w:p>
        </w:tc>
      </w:tr>
      <w:tr w:rsidR="00144254" w:rsidRPr="00144254" w14:paraId="1E453C8B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20CBEA50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t>Completed Fontan procedure volume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49E8BB3B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 xml:space="preserve">Number of Fontan operations performed within a defined </w:t>
            </w:r>
            <w:proofErr w:type="gramStart"/>
            <w:r w:rsidRPr="00144254">
              <w:rPr>
                <w:lang w:val="en-CA"/>
              </w:rPr>
              <w:t>time period</w:t>
            </w:r>
            <w:proofErr w:type="gramEnd"/>
            <w:r w:rsidRPr="00144254">
              <w:rPr>
                <w:lang w:val="en-CA"/>
              </w:rPr>
              <w:t>, usually from surgical databases or institutional/national reports.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00639ACF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Patients living with Fontan from earlier eras; patients treated outside reporting centres; patients who never reach Fontan; patients lost to follow-up after surgery; patients whose procedures are miscoded or omitted.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0836988C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Measuring surgical throughput; comparing procedural volume across centres or regions; estimating surgical access; tracking changes in treatment patterns over time.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3186DFD2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Estimating current survivor prevalence without survival adjustment; estimating disease burden; assessing long-term outcomes; determining how many people need lifelong Fontan care.</w:t>
            </w:r>
          </w:p>
        </w:tc>
      </w:tr>
      <w:tr w:rsidR="00144254" w:rsidRPr="00144254" w14:paraId="6155FE32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6130731A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proofErr w:type="gramStart"/>
            <w:r w:rsidRPr="00144254">
              <w:rPr>
                <w:b/>
                <w:lang w:val="en-CA"/>
              </w:rPr>
              <w:lastRenderedPageBreak/>
              <w:t>Single-ventricle</w:t>
            </w:r>
            <w:proofErr w:type="gramEnd"/>
            <w:r w:rsidRPr="00144254">
              <w:rPr>
                <w:b/>
                <w:lang w:val="en-CA"/>
              </w:rPr>
              <w:t xml:space="preserve"> / functionally univentricular CHD prevalence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1ABCA366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Broad population of people born with or living with functionally single-ventricle physiology, including those who complete Fontan, receive Glenn-only palliation, undergo transplantation, die before Fontan, or follow alternative pathways.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51D52DE9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 xml:space="preserve">Patients with biventricular CHD lesions not functionally </w:t>
            </w:r>
            <w:proofErr w:type="gramStart"/>
            <w:r w:rsidRPr="00144254">
              <w:rPr>
                <w:lang w:val="en-CA"/>
              </w:rPr>
              <w:t>single-ventricle</w:t>
            </w:r>
            <w:proofErr w:type="gramEnd"/>
            <w:r w:rsidRPr="00144254">
              <w:rPr>
                <w:lang w:val="en-CA"/>
              </w:rPr>
              <w:t>; cases excluded by narrow ICD definitions; undiagnosed or misclassified patients depending on surveillance quality.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7A4F23C6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Understanding total disease burden; health equity analysis; global access-to-care research; assessing mortality before definitive palliation; evaluating the full impact of single-ventricle disease beyond successful Fontan completion.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491C64DB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Fontan-specific outcomes research unless stratified; estimating eligibility for therapies indicated only for completed Fontan circulation; adult Fontan clinic planning without separation by treatment pathway.</w:t>
            </w:r>
          </w:p>
        </w:tc>
      </w:tr>
      <w:tr w:rsidR="00144254" w:rsidRPr="00144254" w14:paraId="536DE246" w14:textId="77777777">
        <w:trPr>
          <w:cantSplit/>
          <w:jc w:val="center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3B05BFCC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b/>
                <w:lang w:val="en-CA"/>
              </w:rPr>
              <w:t>Visible follow-up cohort / registry-enrolled Fontan population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669BC3B5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Fontan patients actively followed in participating centres, enrolled in registries, or captured in research datasets.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00AFE55A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Patients lost to follow-up; patients followed outside participating institutions; healthier patients who attend less frequently; marginalized patients with lower access; deceased patients unless mortality linkage exists; patients who declined or were unable to consent.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76FE6510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Outcomes research when limitations are acknowledged; longitudinal follow-up studies; registry-based quality improvement; hypothesis generation; clinical surveillance among enrolled populations.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50" w:type="dxa"/>
              <w:bottom w:w="50" w:type="dxa"/>
              <w:right w:w="50" w:type="dxa"/>
            </w:tcMar>
            <w:hideMark/>
          </w:tcPr>
          <w:p w14:paraId="18781FEF" w14:textId="77777777" w:rsidR="00144254" w:rsidRPr="00144254" w:rsidRDefault="00144254" w:rsidP="00144254">
            <w:pPr>
              <w:spacing w:after="160" w:line="278" w:lineRule="auto"/>
              <w:rPr>
                <w:lang w:val="en-CA"/>
              </w:rPr>
            </w:pPr>
            <w:r w:rsidRPr="00144254">
              <w:rPr>
                <w:lang w:val="en-CA"/>
              </w:rPr>
              <w:t>Estimating whole-population prevalence; assuming representativeness; generalizing outcomes without bias assessment; drawing conclusions about total Fontan morbidity or mortality without accounting for ascertainment bias.</w:t>
            </w:r>
          </w:p>
        </w:tc>
      </w:tr>
    </w:tbl>
    <w:p w14:paraId="398E7817" w14:textId="77777777" w:rsidR="00144254" w:rsidRPr="00144254" w:rsidRDefault="00144254" w:rsidP="00144254">
      <w:pPr>
        <w:rPr>
          <w:lang w:val="en-CA"/>
        </w:rPr>
      </w:pPr>
    </w:p>
    <w:p w14:paraId="29A1C9F9" w14:textId="77777777" w:rsidR="00144254" w:rsidRPr="00144254" w:rsidRDefault="00144254" w:rsidP="00144254">
      <w:pPr>
        <w:rPr>
          <w:lang w:val="en-CA"/>
        </w:rPr>
      </w:pPr>
    </w:p>
    <w:p w14:paraId="538BC664" w14:textId="77777777" w:rsidR="00767E38" w:rsidRDefault="00767E38"/>
    <w:sectPr w:rsidR="00767E38" w:rsidSect="001442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54"/>
    <w:rsid w:val="000A785A"/>
    <w:rsid w:val="00144254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C018B"/>
  <w15:chartTrackingRefBased/>
  <w15:docId w15:val="{D013549B-C511-45B3-83F1-BBD5753F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4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2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2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2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2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2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2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2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2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2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4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4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4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2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42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4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829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2026-09-09T09:00:00Z</dcterms:created>
  <dcterms:modified xsi:type="dcterms:W3CDTF">2026-09-09T09:00:00Z</dcterms:modified>
</cp:coreProperties>
</file>