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6A7DC" w14:textId="77777777" w:rsidR="00BD481A" w:rsidRPr="00956055" w:rsidRDefault="00BD481A" w:rsidP="00BD481A">
      <w:pPr>
        <w:bidi w:val="0"/>
        <w:spacing w:after="120" w:line="256" w:lineRule="auto"/>
        <w:rPr>
          <w:rFonts w:asciiTheme="majorHAnsi" w:eastAsia="Arial" w:hAnsiTheme="majorHAnsi" w:cstheme="majorHAnsi"/>
          <w:b/>
          <w:bCs/>
          <w:sz w:val="20"/>
          <w:szCs w:val="20"/>
        </w:rPr>
      </w:pPr>
      <w:r w:rsidRPr="00956055">
        <w:rPr>
          <w:rFonts w:asciiTheme="majorHAnsi" w:eastAsia="Arial" w:hAnsiTheme="majorHAnsi" w:cstheme="majorHAnsi"/>
          <w:b/>
          <w:bCs/>
          <w:sz w:val="20"/>
          <w:szCs w:val="20"/>
        </w:rPr>
        <w:t>Table 3. Multivariable associations with pathological outcomes</w:t>
      </w:r>
    </w:p>
    <w:tbl>
      <w:tblPr>
        <w:tblW w:w="9195" w:type="dxa"/>
        <w:tblBorders>
          <w:top w:val="nil"/>
          <w:left w:val="nil"/>
          <w:bottom w:val="nil"/>
          <w:right w:val="nil"/>
          <w:insideH w:val="nil"/>
          <w:insideV w:val="nil"/>
        </w:tblBorders>
        <w:tblLayout w:type="fixed"/>
        <w:tblCellMar>
          <w:left w:w="10" w:type="dxa"/>
          <w:right w:w="10" w:type="dxa"/>
        </w:tblCellMar>
        <w:tblLook w:val="0600" w:firstRow="0" w:lastRow="0" w:firstColumn="0" w:lastColumn="0" w:noHBand="1" w:noVBand="1"/>
      </w:tblPr>
      <w:tblGrid>
        <w:gridCol w:w="1515"/>
        <w:gridCol w:w="1380"/>
        <w:gridCol w:w="1350"/>
        <w:gridCol w:w="1455"/>
        <w:gridCol w:w="1215"/>
        <w:gridCol w:w="1365"/>
        <w:gridCol w:w="915"/>
      </w:tblGrid>
      <w:tr w:rsidR="00BD481A" w:rsidRPr="00D84C69" w14:paraId="3B066032" w14:textId="77777777" w:rsidTr="005E7943">
        <w:tblPrEx>
          <w:tblCellMar>
            <w:top w:w="0" w:type="dxa"/>
            <w:bottom w:w="0" w:type="dxa"/>
          </w:tblCellMar>
        </w:tblPrEx>
        <w:trPr>
          <w:trHeight w:val="300"/>
        </w:trPr>
        <w:tc>
          <w:tcPr>
            <w:tcW w:w="1515" w:type="dxa"/>
            <w:tcBorders>
              <w:top w:val="single" w:sz="6" w:space="0" w:color="000000"/>
              <w:left w:val="nil"/>
              <w:bottom w:val="single" w:sz="6" w:space="0" w:color="000000"/>
              <w:right w:val="nil"/>
            </w:tcBorders>
            <w:tcMar>
              <w:top w:w="80" w:type="dxa"/>
              <w:left w:w="80" w:type="dxa"/>
              <w:bottom w:w="80" w:type="dxa"/>
              <w:right w:w="80" w:type="dxa"/>
            </w:tcMar>
          </w:tcPr>
          <w:p w14:paraId="72A267DA" w14:textId="77777777" w:rsidR="00BD481A" w:rsidRPr="00956055"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 xml:space="preserve">Model outcome </w:t>
            </w:r>
          </w:p>
        </w:tc>
        <w:tc>
          <w:tcPr>
            <w:tcW w:w="1380" w:type="dxa"/>
            <w:tcBorders>
              <w:top w:val="single" w:sz="6" w:space="0" w:color="000000"/>
              <w:left w:val="nil"/>
              <w:bottom w:val="single" w:sz="6" w:space="0" w:color="000000"/>
              <w:right w:val="nil"/>
            </w:tcBorders>
            <w:tcMar>
              <w:top w:w="80" w:type="dxa"/>
              <w:left w:w="80" w:type="dxa"/>
              <w:bottom w:w="80" w:type="dxa"/>
              <w:right w:w="80" w:type="dxa"/>
            </w:tcMar>
          </w:tcPr>
          <w:p w14:paraId="5B771A98" w14:textId="77777777" w:rsidR="00BD481A" w:rsidRPr="00956055"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Predictor</w:t>
            </w:r>
          </w:p>
        </w:tc>
        <w:tc>
          <w:tcPr>
            <w:tcW w:w="1350" w:type="dxa"/>
            <w:tcBorders>
              <w:top w:val="single" w:sz="6" w:space="0" w:color="000000"/>
              <w:left w:val="nil"/>
              <w:bottom w:val="single" w:sz="6" w:space="0" w:color="000000"/>
              <w:right w:val="nil"/>
            </w:tcBorders>
            <w:tcMar>
              <w:top w:w="80" w:type="dxa"/>
              <w:left w:w="80" w:type="dxa"/>
              <w:bottom w:w="80" w:type="dxa"/>
              <w:right w:w="80" w:type="dxa"/>
            </w:tcMar>
          </w:tcPr>
          <w:p w14:paraId="03441190" w14:textId="77777777" w:rsidR="00BD481A" w:rsidRPr="00956055"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Events/exposed</w:t>
            </w:r>
          </w:p>
        </w:tc>
        <w:tc>
          <w:tcPr>
            <w:tcW w:w="1455" w:type="dxa"/>
            <w:tcBorders>
              <w:top w:val="single" w:sz="6" w:space="0" w:color="000000"/>
              <w:left w:val="nil"/>
              <w:bottom w:val="single" w:sz="6" w:space="0" w:color="000000"/>
              <w:right w:val="nil"/>
            </w:tcBorders>
            <w:tcMar>
              <w:top w:w="80" w:type="dxa"/>
              <w:left w:w="80" w:type="dxa"/>
              <w:bottom w:w="80" w:type="dxa"/>
              <w:right w:w="80" w:type="dxa"/>
            </w:tcMar>
          </w:tcPr>
          <w:p w14:paraId="65627AB5" w14:textId="77777777" w:rsidR="00BD481A" w:rsidRPr="00956055"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Events/reference</w:t>
            </w:r>
          </w:p>
        </w:tc>
        <w:tc>
          <w:tcPr>
            <w:tcW w:w="1215" w:type="dxa"/>
            <w:tcBorders>
              <w:top w:val="single" w:sz="6" w:space="0" w:color="000000"/>
              <w:left w:val="nil"/>
              <w:bottom w:val="single" w:sz="6" w:space="0" w:color="000000"/>
              <w:right w:val="nil"/>
            </w:tcBorders>
            <w:tcMar>
              <w:top w:w="80" w:type="dxa"/>
              <w:left w:w="80" w:type="dxa"/>
              <w:bottom w:w="80" w:type="dxa"/>
              <w:right w:w="80" w:type="dxa"/>
            </w:tcMar>
          </w:tcPr>
          <w:p w14:paraId="0E0A50D8" w14:textId="77777777" w:rsidR="00BD481A" w:rsidRPr="00956055"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Crude OR (95% CI)</w:t>
            </w:r>
          </w:p>
        </w:tc>
        <w:tc>
          <w:tcPr>
            <w:tcW w:w="1365" w:type="dxa"/>
            <w:tcBorders>
              <w:top w:val="single" w:sz="6" w:space="0" w:color="000000"/>
              <w:left w:val="nil"/>
              <w:bottom w:val="single" w:sz="6" w:space="0" w:color="000000"/>
              <w:right w:val="nil"/>
            </w:tcBorders>
            <w:tcMar>
              <w:top w:w="80" w:type="dxa"/>
              <w:left w:w="80" w:type="dxa"/>
              <w:bottom w:w="80" w:type="dxa"/>
              <w:right w:w="80" w:type="dxa"/>
            </w:tcMar>
          </w:tcPr>
          <w:p w14:paraId="3CCC25D7" w14:textId="77777777" w:rsidR="00BD481A" w:rsidRPr="00956055"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Adjusted OR (95% CI)</w:t>
            </w:r>
          </w:p>
        </w:tc>
        <w:tc>
          <w:tcPr>
            <w:tcW w:w="915" w:type="dxa"/>
            <w:tcBorders>
              <w:top w:val="single" w:sz="6" w:space="0" w:color="000000"/>
              <w:left w:val="nil"/>
              <w:bottom w:val="single" w:sz="6" w:space="0" w:color="000000"/>
              <w:right w:val="nil"/>
            </w:tcBorders>
            <w:tcMar>
              <w:top w:w="80" w:type="dxa"/>
              <w:left w:w="80" w:type="dxa"/>
              <w:bottom w:w="80" w:type="dxa"/>
              <w:right w:w="80" w:type="dxa"/>
            </w:tcMar>
          </w:tcPr>
          <w:p w14:paraId="7ED48BDC"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956055">
              <w:rPr>
                <w:rFonts w:asciiTheme="majorHAnsi" w:eastAsia="Arial" w:hAnsiTheme="majorHAnsi" w:cstheme="majorHAnsi"/>
                <w:sz w:val="20"/>
                <w:szCs w:val="20"/>
              </w:rPr>
              <w:t>P value</w:t>
            </w:r>
          </w:p>
        </w:tc>
      </w:tr>
      <w:tr w:rsidR="00BD481A" w:rsidRPr="00D84C69" w14:paraId="660A183A" w14:textId="77777777" w:rsidTr="005E7943">
        <w:tblPrEx>
          <w:tblCellMar>
            <w:top w:w="0" w:type="dxa"/>
            <w:bottom w:w="0" w:type="dxa"/>
          </w:tblCellMar>
        </w:tblPrEx>
        <w:trPr>
          <w:trHeight w:val="435"/>
        </w:trPr>
        <w:tc>
          <w:tcPr>
            <w:tcW w:w="1515" w:type="dxa"/>
            <w:tcBorders>
              <w:top w:val="nil"/>
              <w:left w:val="nil"/>
              <w:bottom w:val="single" w:sz="6" w:space="0" w:color="777777"/>
              <w:right w:val="nil"/>
            </w:tcBorders>
            <w:tcMar>
              <w:top w:w="80" w:type="dxa"/>
              <w:left w:w="80" w:type="dxa"/>
              <w:bottom w:w="80" w:type="dxa"/>
              <w:right w:w="80" w:type="dxa"/>
            </w:tcMar>
          </w:tcPr>
          <w:p w14:paraId="7EA53FF1" w14:textId="77777777" w:rsidR="00BD481A" w:rsidRPr="00D84C69" w:rsidRDefault="00BD481A" w:rsidP="005E7943">
            <w:pPr>
              <w:bidi w:val="0"/>
              <w:spacing w:after="0" w:line="276" w:lineRule="auto"/>
              <w:rPr>
                <w:rFonts w:asciiTheme="majorHAnsi" w:eastAsia="Arial" w:hAnsiTheme="majorHAnsi" w:cstheme="majorHAnsi"/>
                <w:sz w:val="20"/>
                <w:szCs w:val="20"/>
              </w:rPr>
            </w:pPr>
            <w:r>
              <w:rPr>
                <w:rFonts w:asciiTheme="majorHAnsi" w:eastAsia="Arial" w:hAnsiTheme="majorHAnsi" w:cstheme="majorHAnsi"/>
                <w:sz w:val="20"/>
                <w:szCs w:val="20"/>
              </w:rPr>
              <w:t>Incidental</w:t>
            </w:r>
            <w:r w:rsidRPr="00D84C69">
              <w:rPr>
                <w:rFonts w:asciiTheme="majorHAnsi" w:eastAsia="Arial" w:hAnsiTheme="majorHAnsi" w:cstheme="majorHAnsi"/>
                <w:sz w:val="20"/>
                <w:szCs w:val="20"/>
              </w:rPr>
              <w:t xml:space="preserve"> histopathological findings</w:t>
            </w:r>
          </w:p>
        </w:tc>
        <w:tc>
          <w:tcPr>
            <w:tcW w:w="1380" w:type="dxa"/>
            <w:tcBorders>
              <w:top w:val="nil"/>
              <w:left w:val="nil"/>
              <w:bottom w:val="single" w:sz="6" w:space="0" w:color="777777"/>
              <w:right w:val="nil"/>
            </w:tcBorders>
            <w:tcMar>
              <w:top w:w="80" w:type="dxa"/>
              <w:left w:w="80" w:type="dxa"/>
              <w:bottom w:w="80" w:type="dxa"/>
              <w:right w:w="80" w:type="dxa"/>
            </w:tcMar>
          </w:tcPr>
          <w:p w14:paraId="24930254"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Age, per 10-year increase</w:t>
            </w:r>
          </w:p>
        </w:tc>
        <w:tc>
          <w:tcPr>
            <w:tcW w:w="1350" w:type="dxa"/>
            <w:tcBorders>
              <w:top w:val="nil"/>
              <w:left w:val="nil"/>
              <w:bottom w:val="single" w:sz="6" w:space="0" w:color="777777"/>
              <w:right w:val="nil"/>
            </w:tcBorders>
            <w:tcMar>
              <w:top w:w="80" w:type="dxa"/>
              <w:left w:w="80" w:type="dxa"/>
              <w:bottom w:w="80" w:type="dxa"/>
              <w:right w:w="80" w:type="dxa"/>
            </w:tcMar>
          </w:tcPr>
          <w:p w14:paraId="36CD1B12"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31/1,501 (2.1%)</w:t>
            </w:r>
          </w:p>
        </w:tc>
        <w:tc>
          <w:tcPr>
            <w:tcW w:w="1455" w:type="dxa"/>
            <w:tcBorders>
              <w:top w:val="nil"/>
              <w:left w:val="nil"/>
              <w:bottom w:val="single" w:sz="6" w:space="0" w:color="777777"/>
              <w:right w:val="nil"/>
            </w:tcBorders>
            <w:tcMar>
              <w:top w:w="80" w:type="dxa"/>
              <w:left w:w="80" w:type="dxa"/>
              <w:bottom w:w="80" w:type="dxa"/>
              <w:right w:w="80" w:type="dxa"/>
            </w:tcMar>
          </w:tcPr>
          <w:p w14:paraId="7594511C"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Continuous</w:t>
            </w:r>
          </w:p>
        </w:tc>
        <w:tc>
          <w:tcPr>
            <w:tcW w:w="1215" w:type="dxa"/>
            <w:tcBorders>
              <w:top w:val="nil"/>
              <w:left w:val="nil"/>
              <w:bottom w:val="single" w:sz="6" w:space="0" w:color="777777"/>
              <w:right w:val="nil"/>
            </w:tcBorders>
            <w:tcMar>
              <w:top w:w="80" w:type="dxa"/>
              <w:left w:w="80" w:type="dxa"/>
              <w:bottom w:w="80" w:type="dxa"/>
              <w:right w:w="80" w:type="dxa"/>
            </w:tcMar>
          </w:tcPr>
          <w:p w14:paraId="55F89BA0"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2.40 (1.94–2.98)</w:t>
            </w:r>
          </w:p>
        </w:tc>
        <w:tc>
          <w:tcPr>
            <w:tcW w:w="1365" w:type="dxa"/>
            <w:tcBorders>
              <w:top w:val="nil"/>
              <w:left w:val="nil"/>
              <w:bottom w:val="single" w:sz="6" w:space="0" w:color="777777"/>
              <w:right w:val="nil"/>
            </w:tcBorders>
            <w:tcMar>
              <w:top w:w="80" w:type="dxa"/>
              <w:left w:w="80" w:type="dxa"/>
              <w:bottom w:w="80" w:type="dxa"/>
              <w:right w:w="80" w:type="dxa"/>
            </w:tcMar>
          </w:tcPr>
          <w:p w14:paraId="3D773E17"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2.41 (1.95–2.99)</w:t>
            </w:r>
          </w:p>
        </w:tc>
        <w:tc>
          <w:tcPr>
            <w:tcW w:w="915" w:type="dxa"/>
            <w:tcBorders>
              <w:top w:val="nil"/>
              <w:left w:val="nil"/>
              <w:bottom w:val="single" w:sz="6" w:space="0" w:color="777777"/>
              <w:right w:val="nil"/>
            </w:tcBorders>
            <w:tcMar>
              <w:top w:w="80" w:type="dxa"/>
              <w:left w:w="80" w:type="dxa"/>
              <w:bottom w:w="80" w:type="dxa"/>
              <w:right w:w="80" w:type="dxa"/>
            </w:tcMar>
          </w:tcPr>
          <w:p w14:paraId="2295C097"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P &lt; 0.001</w:t>
            </w:r>
          </w:p>
        </w:tc>
      </w:tr>
      <w:tr w:rsidR="00BD481A" w:rsidRPr="00D84C69" w14:paraId="6E676BAA" w14:textId="77777777" w:rsidTr="005E7943">
        <w:tblPrEx>
          <w:tblCellMar>
            <w:top w:w="0" w:type="dxa"/>
            <w:bottom w:w="0" w:type="dxa"/>
          </w:tblCellMar>
        </w:tblPrEx>
        <w:trPr>
          <w:trHeight w:val="435"/>
        </w:trPr>
        <w:tc>
          <w:tcPr>
            <w:tcW w:w="1515" w:type="dxa"/>
            <w:tcBorders>
              <w:top w:val="nil"/>
              <w:left w:val="nil"/>
              <w:bottom w:val="single" w:sz="6" w:space="0" w:color="777777"/>
              <w:right w:val="nil"/>
            </w:tcBorders>
            <w:tcMar>
              <w:top w:w="80" w:type="dxa"/>
              <w:left w:w="80" w:type="dxa"/>
              <w:bottom w:w="80" w:type="dxa"/>
              <w:right w:w="80" w:type="dxa"/>
            </w:tcMar>
          </w:tcPr>
          <w:p w14:paraId="2C504BD4" w14:textId="77777777" w:rsidR="00BD481A" w:rsidRPr="00D84C69" w:rsidRDefault="00BD481A" w:rsidP="005E7943">
            <w:pPr>
              <w:bidi w:val="0"/>
              <w:spacing w:after="0" w:line="276" w:lineRule="auto"/>
              <w:rPr>
                <w:rFonts w:asciiTheme="majorHAnsi" w:eastAsia="Arial" w:hAnsiTheme="majorHAnsi" w:cstheme="majorHAnsi"/>
                <w:sz w:val="20"/>
                <w:szCs w:val="20"/>
              </w:rPr>
            </w:pPr>
            <w:r>
              <w:rPr>
                <w:rFonts w:asciiTheme="majorHAnsi" w:eastAsia="Arial" w:hAnsiTheme="majorHAnsi" w:cstheme="majorHAnsi"/>
                <w:sz w:val="20"/>
                <w:szCs w:val="20"/>
              </w:rPr>
              <w:t>incidental</w:t>
            </w:r>
            <w:r w:rsidRPr="00D84C69">
              <w:rPr>
                <w:rFonts w:asciiTheme="majorHAnsi" w:eastAsia="Arial" w:hAnsiTheme="majorHAnsi" w:cstheme="majorHAnsi"/>
                <w:sz w:val="20"/>
                <w:szCs w:val="20"/>
              </w:rPr>
              <w:t xml:space="preserve"> histopathological findings</w:t>
            </w:r>
          </w:p>
        </w:tc>
        <w:tc>
          <w:tcPr>
            <w:tcW w:w="1380" w:type="dxa"/>
            <w:tcBorders>
              <w:top w:val="nil"/>
              <w:left w:val="nil"/>
              <w:bottom w:val="single" w:sz="6" w:space="0" w:color="777777"/>
              <w:right w:val="nil"/>
            </w:tcBorders>
            <w:tcMar>
              <w:top w:w="80" w:type="dxa"/>
              <w:left w:w="80" w:type="dxa"/>
              <w:bottom w:w="80" w:type="dxa"/>
              <w:right w:w="80" w:type="dxa"/>
            </w:tcMar>
          </w:tcPr>
          <w:p w14:paraId="1F79C6EE" w14:textId="77777777" w:rsidR="00BD481A" w:rsidRPr="00D84C69" w:rsidRDefault="00BD481A" w:rsidP="005E7943">
            <w:pPr>
              <w:bidi w:val="0"/>
              <w:spacing w:after="0" w:line="276" w:lineRule="auto"/>
              <w:rPr>
                <w:rFonts w:asciiTheme="majorHAnsi" w:eastAsia="Arial" w:hAnsiTheme="majorHAnsi" w:cstheme="majorHAnsi"/>
                <w:sz w:val="20"/>
                <w:szCs w:val="20"/>
              </w:rPr>
            </w:pPr>
            <w:sdt>
              <w:sdtPr>
                <w:rPr>
                  <w:rFonts w:asciiTheme="majorHAnsi" w:hAnsiTheme="majorHAnsi" w:cstheme="majorHAnsi"/>
                </w:rPr>
                <w:tag w:val="goog_rdk_9"/>
                <w:id w:val="-318810088"/>
              </w:sdtPr>
              <w:sdtContent>
                <w:r w:rsidRPr="00D84C69">
                  <w:rPr>
                    <w:rFonts w:asciiTheme="majorHAnsi" w:eastAsia="Arial Unicode MS" w:hAnsiTheme="majorHAnsi" w:cstheme="majorHAnsi"/>
                    <w:sz w:val="20"/>
                    <w:szCs w:val="20"/>
                  </w:rPr>
                  <w:t>Age ≥40 years</w:t>
                </w:r>
                <w:r>
                  <w:rPr>
                    <w:rFonts w:asciiTheme="majorHAnsi" w:hAnsiTheme="majorHAnsi" w:cstheme="majorHAnsi"/>
                  </w:rPr>
                  <w:t xml:space="preserve"> </w:t>
                </w:r>
              </w:sdtContent>
            </w:sdt>
          </w:p>
        </w:tc>
        <w:tc>
          <w:tcPr>
            <w:tcW w:w="1350" w:type="dxa"/>
            <w:tcBorders>
              <w:top w:val="nil"/>
              <w:left w:val="nil"/>
              <w:bottom w:val="single" w:sz="6" w:space="0" w:color="777777"/>
              <w:right w:val="nil"/>
            </w:tcBorders>
            <w:tcMar>
              <w:top w:w="80" w:type="dxa"/>
              <w:left w:w="80" w:type="dxa"/>
              <w:bottom w:w="80" w:type="dxa"/>
              <w:right w:w="80" w:type="dxa"/>
            </w:tcMar>
          </w:tcPr>
          <w:p w14:paraId="1DD153CE"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24/288 (8.3%)</w:t>
            </w:r>
          </w:p>
        </w:tc>
        <w:tc>
          <w:tcPr>
            <w:tcW w:w="1455" w:type="dxa"/>
            <w:tcBorders>
              <w:top w:val="nil"/>
              <w:left w:val="nil"/>
              <w:bottom w:val="single" w:sz="6" w:space="0" w:color="777777"/>
              <w:right w:val="nil"/>
            </w:tcBorders>
            <w:tcMar>
              <w:top w:w="80" w:type="dxa"/>
              <w:left w:w="80" w:type="dxa"/>
              <w:bottom w:w="80" w:type="dxa"/>
              <w:right w:w="80" w:type="dxa"/>
            </w:tcMar>
          </w:tcPr>
          <w:p w14:paraId="0288DA49"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7/1213 (0.6%) aged &lt;40</w:t>
            </w:r>
          </w:p>
        </w:tc>
        <w:tc>
          <w:tcPr>
            <w:tcW w:w="1215" w:type="dxa"/>
            <w:tcBorders>
              <w:top w:val="nil"/>
              <w:left w:val="nil"/>
              <w:bottom w:val="single" w:sz="6" w:space="0" w:color="777777"/>
              <w:right w:val="nil"/>
            </w:tcBorders>
            <w:tcMar>
              <w:top w:w="80" w:type="dxa"/>
              <w:left w:w="80" w:type="dxa"/>
              <w:bottom w:w="80" w:type="dxa"/>
              <w:right w:w="80" w:type="dxa"/>
            </w:tcMar>
          </w:tcPr>
          <w:p w14:paraId="572ACAD4"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15.66 (6.68–36.73)</w:t>
            </w:r>
          </w:p>
        </w:tc>
        <w:tc>
          <w:tcPr>
            <w:tcW w:w="1365" w:type="dxa"/>
            <w:tcBorders>
              <w:top w:val="nil"/>
              <w:left w:val="nil"/>
              <w:bottom w:val="single" w:sz="6" w:space="0" w:color="777777"/>
              <w:right w:val="nil"/>
            </w:tcBorders>
            <w:tcMar>
              <w:top w:w="80" w:type="dxa"/>
              <w:left w:w="80" w:type="dxa"/>
              <w:bottom w:w="80" w:type="dxa"/>
              <w:right w:w="80" w:type="dxa"/>
            </w:tcMar>
          </w:tcPr>
          <w:p w14:paraId="1FB41C95"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16.28 (6.86–38.61)</w:t>
            </w:r>
          </w:p>
        </w:tc>
        <w:tc>
          <w:tcPr>
            <w:tcW w:w="915" w:type="dxa"/>
            <w:tcBorders>
              <w:top w:val="nil"/>
              <w:left w:val="nil"/>
              <w:bottom w:val="single" w:sz="6" w:space="0" w:color="777777"/>
              <w:right w:val="nil"/>
            </w:tcBorders>
            <w:tcMar>
              <w:top w:w="80" w:type="dxa"/>
              <w:left w:w="80" w:type="dxa"/>
              <w:bottom w:w="80" w:type="dxa"/>
              <w:right w:w="80" w:type="dxa"/>
            </w:tcMar>
          </w:tcPr>
          <w:p w14:paraId="5BB94A62"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P &lt; 0.001</w:t>
            </w:r>
          </w:p>
        </w:tc>
      </w:tr>
      <w:tr w:rsidR="00BD481A" w:rsidRPr="00D84C69" w14:paraId="6D312009" w14:textId="77777777" w:rsidTr="005E7943">
        <w:tblPrEx>
          <w:tblCellMar>
            <w:top w:w="0" w:type="dxa"/>
            <w:bottom w:w="0" w:type="dxa"/>
          </w:tblCellMar>
        </w:tblPrEx>
        <w:trPr>
          <w:trHeight w:val="435"/>
        </w:trPr>
        <w:tc>
          <w:tcPr>
            <w:tcW w:w="1515" w:type="dxa"/>
            <w:tcBorders>
              <w:top w:val="nil"/>
              <w:left w:val="nil"/>
              <w:bottom w:val="single" w:sz="6" w:space="0" w:color="777777"/>
              <w:right w:val="nil"/>
            </w:tcBorders>
            <w:tcMar>
              <w:top w:w="80" w:type="dxa"/>
              <w:left w:w="80" w:type="dxa"/>
              <w:bottom w:w="80" w:type="dxa"/>
              <w:right w:w="80" w:type="dxa"/>
            </w:tcMar>
          </w:tcPr>
          <w:p w14:paraId="109A3F56" w14:textId="77777777" w:rsidR="00BD481A" w:rsidRPr="00D84C69" w:rsidRDefault="00BD481A" w:rsidP="005E7943">
            <w:pPr>
              <w:bidi w:val="0"/>
              <w:spacing w:after="0" w:line="276" w:lineRule="auto"/>
              <w:rPr>
                <w:rFonts w:asciiTheme="majorHAnsi" w:eastAsia="Arial" w:hAnsiTheme="majorHAnsi" w:cstheme="majorHAnsi"/>
                <w:sz w:val="20"/>
                <w:szCs w:val="20"/>
              </w:rPr>
            </w:pPr>
            <w:r>
              <w:rPr>
                <w:rFonts w:asciiTheme="majorHAnsi" w:eastAsia="Arial" w:hAnsiTheme="majorHAnsi" w:cstheme="majorHAnsi"/>
                <w:sz w:val="20"/>
                <w:szCs w:val="20"/>
              </w:rPr>
              <w:t>incidental</w:t>
            </w:r>
            <w:r w:rsidRPr="00D84C69">
              <w:rPr>
                <w:rFonts w:asciiTheme="majorHAnsi" w:eastAsia="Arial" w:hAnsiTheme="majorHAnsi" w:cstheme="majorHAnsi"/>
                <w:sz w:val="20"/>
                <w:szCs w:val="20"/>
              </w:rPr>
              <w:t xml:space="preserve"> histopathological findings</w:t>
            </w:r>
          </w:p>
        </w:tc>
        <w:tc>
          <w:tcPr>
            <w:tcW w:w="1380" w:type="dxa"/>
            <w:tcBorders>
              <w:top w:val="nil"/>
              <w:left w:val="nil"/>
              <w:bottom w:val="single" w:sz="6" w:space="0" w:color="777777"/>
              <w:right w:val="nil"/>
            </w:tcBorders>
            <w:tcMar>
              <w:top w:w="80" w:type="dxa"/>
              <w:left w:w="80" w:type="dxa"/>
              <w:bottom w:w="80" w:type="dxa"/>
              <w:right w:w="80" w:type="dxa"/>
            </w:tcMar>
          </w:tcPr>
          <w:p w14:paraId="087C9359"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 xml:space="preserve">Appendectomy </w:t>
            </w:r>
            <w:r>
              <w:rPr>
                <w:rFonts w:asciiTheme="majorHAnsi" w:eastAsia="Arial" w:hAnsiTheme="majorHAnsi" w:cstheme="majorHAnsi"/>
                <w:sz w:val="20"/>
                <w:szCs w:val="20"/>
              </w:rPr>
              <w:t xml:space="preserve">was performed </w:t>
            </w:r>
            <w:r w:rsidRPr="00D84C69">
              <w:rPr>
                <w:rFonts w:asciiTheme="majorHAnsi" w:eastAsia="Arial" w:hAnsiTheme="majorHAnsi" w:cstheme="majorHAnsi"/>
                <w:sz w:val="20"/>
                <w:szCs w:val="20"/>
              </w:rPr>
              <w:t>during another operation</w:t>
            </w:r>
          </w:p>
        </w:tc>
        <w:tc>
          <w:tcPr>
            <w:tcW w:w="1350" w:type="dxa"/>
            <w:tcBorders>
              <w:top w:val="nil"/>
              <w:left w:val="nil"/>
              <w:bottom w:val="single" w:sz="6" w:space="0" w:color="777777"/>
              <w:right w:val="nil"/>
            </w:tcBorders>
            <w:tcMar>
              <w:top w:w="80" w:type="dxa"/>
              <w:left w:w="80" w:type="dxa"/>
              <w:bottom w:w="80" w:type="dxa"/>
              <w:right w:w="80" w:type="dxa"/>
            </w:tcMar>
          </w:tcPr>
          <w:p w14:paraId="2E2D6D4A" w14:textId="77777777" w:rsidR="00BD481A" w:rsidRPr="00D41067" w:rsidRDefault="00BD481A" w:rsidP="005E7943">
            <w:pPr>
              <w:bidi w:val="0"/>
              <w:spacing w:after="0" w:line="276" w:lineRule="auto"/>
              <w:rPr>
                <w:rFonts w:asciiTheme="majorHAnsi" w:eastAsia="Arial" w:hAnsiTheme="majorHAnsi" w:cstheme="majorHAnsi"/>
                <w:sz w:val="20"/>
                <w:szCs w:val="20"/>
              </w:rPr>
            </w:pPr>
            <w:r w:rsidRPr="00D41067">
              <w:rPr>
                <w:rFonts w:asciiTheme="majorHAnsi" w:eastAsia="Arial" w:hAnsiTheme="majorHAnsi" w:cstheme="majorHAnsi"/>
                <w:sz w:val="20"/>
                <w:szCs w:val="20"/>
              </w:rPr>
              <w:t>13/141 (9.2</w:t>
            </w:r>
            <w:proofErr w:type="gramStart"/>
            <w:r w:rsidRPr="00D41067">
              <w:rPr>
                <w:rFonts w:asciiTheme="majorHAnsi" w:eastAsia="Arial" w:hAnsiTheme="majorHAnsi" w:cstheme="majorHAnsi"/>
                <w:sz w:val="20"/>
                <w:szCs w:val="20"/>
              </w:rPr>
              <w:t>%)</w:t>
            </w:r>
            <w:r w:rsidRPr="00D41067">
              <w:rPr>
                <w:rFonts w:asciiTheme="majorHAnsi" w:eastAsia="Arial" w:hAnsiTheme="majorHAnsi" w:cstheme="majorHAnsi"/>
                <w:sz w:val="20"/>
                <w:szCs w:val="20"/>
                <w:vertAlign w:val="superscript"/>
              </w:rPr>
              <w:t>*</w:t>
            </w:r>
            <w:proofErr w:type="gramEnd"/>
          </w:p>
        </w:tc>
        <w:tc>
          <w:tcPr>
            <w:tcW w:w="1455" w:type="dxa"/>
            <w:tcBorders>
              <w:top w:val="nil"/>
              <w:left w:val="nil"/>
              <w:bottom w:val="single" w:sz="6" w:space="0" w:color="777777"/>
              <w:right w:val="nil"/>
            </w:tcBorders>
            <w:tcMar>
              <w:top w:w="80" w:type="dxa"/>
              <w:left w:w="80" w:type="dxa"/>
              <w:bottom w:w="80" w:type="dxa"/>
              <w:right w:w="80" w:type="dxa"/>
            </w:tcMar>
          </w:tcPr>
          <w:p w14:paraId="1FC66CF4"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15/1302 (1.2%) primary</w:t>
            </w:r>
          </w:p>
        </w:tc>
        <w:tc>
          <w:tcPr>
            <w:tcW w:w="1215" w:type="dxa"/>
            <w:tcBorders>
              <w:top w:val="nil"/>
              <w:left w:val="nil"/>
              <w:bottom w:val="single" w:sz="6" w:space="0" w:color="777777"/>
              <w:right w:val="nil"/>
            </w:tcBorders>
            <w:tcMar>
              <w:top w:w="80" w:type="dxa"/>
              <w:left w:w="80" w:type="dxa"/>
              <w:bottom w:w="80" w:type="dxa"/>
              <w:right w:w="80" w:type="dxa"/>
            </w:tcMar>
          </w:tcPr>
          <w:p w14:paraId="1A4E818B"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8.65 (4.03–18.57)</w:t>
            </w:r>
          </w:p>
        </w:tc>
        <w:tc>
          <w:tcPr>
            <w:tcW w:w="1365" w:type="dxa"/>
            <w:tcBorders>
              <w:top w:val="nil"/>
              <w:left w:val="nil"/>
              <w:bottom w:val="single" w:sz="6" w:space="0" w:color="777777"/>
              <w:right w:val="nil"/>
            </w:tcBorders>
            <w:tcMar>
              <w:top w:w="80" w:type="dxa"/>
              <w:left w:w="80" w:type="dxa"/>
              <w:bottom w:w="80" w:type="dxa"/>
              <w:right w:w="80" w:type="dxa"/>
            </w:tcMar>
          </w:tcPr>
          <w:p w14:paraId="50CC6E1D"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2.62 (1.12–6.12)</w:t>
            </w:r>
          </w:p>
        </w:tc>
        <w:tc>
          <w:tcPr>
            <w:tcW w:w="915" w:type="dxa"/>
            <w:tcBorders>
              <w:top w:val="nil"/>
              <w:left w:val="nil"/>
              <w:bottom w:val="single" w:sz="6" w:space="0" w:color="777777"/>
              <w:right w:val="nil"/>
            </w:tcBorders>
            <w:tcMar>
              <w:top w:w="80" w:type="dxa"/>
              <w:left w:w="80" w:type="dxa"/>
              <w:bottom w:w="80" w:type="dxa"/>
              <w:right w:w="80" w:type="dxa"/>
            </w:tcMar>
          </w:tcPr>
          <w:p w14:paraId="4DA9265A"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P = 0.026</w:t>
            </w:r>
          </w:p>
        </w:tc>
      </w:tr>
      <w:tr w:rsidR="00BD481A" w:rsidRPr="00D84C69" w14:paraId="290CA9C3" w14:textId="77777777" w:rsidTr="005E7943">
        <w:tblPrEx>
          <w:tblCellMar>
            <w:top w:w="0" w:type="dxa"/>
            <w:bottom w:w="0" w:type="dxa"/>
          </w:tblCellMar>
        </w:tblPrEx>
        <w:trPr>
          <w:trHeight w:val="435"/>
        </w:trPr>
        <w:tc>
          <w:tcPr>
            <w:tcW w:w="1515" w:type="dxa"/>
            <w:tcBorders>
              <w:top w:val="nil"/>
              <w:left w:val="nil"/>
              <w:bottom w:val="single" w:sz="6" w:space="0" w:color="777777"/>
              <w:right w:val="nil"/>
            </w:tcBorders>
            <w:tcMar>
              <w:top w:w="80" w:type="dxa"/>
              <w:left w:w="80" w:type="dxa"/>
              <w:bottom w:w="80" w:type="dxa"/>
              <w:right w:w="80" w:type="dxa"/>
            </w:tcMar>
          </w:tcPr>
          <w:p w14:paraId="10A6F534"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Histologically normal appendix</w:t>
            </w:r>
          </w:p>
        </w:tc>
        <w:tc>
          <w:tcPr>
            <w:tcW w:w="1380" w:type="dxa"/>
            <w:tcBorders>
              <w:top w:val="nil"/>
              <w:left w:val="nil"/>
              <w:bottom w:val="single" w:sz="6" w:space="0" w:color="777777"/>
              <w:right w:val="nil"/>
            </w:tcBorders>
            <w:tcMar>
              <w:top w:w="80" w:type="dxa"/>
              <w:left w:w="80" w:type="dxa"/>
              <w:bottom w:w="80" w:type="dxa"/>
              <w:right w:w="80" w:type="dxa"/>
            </w:tcMar>
          </w:tcPr>
          <w:p w14:paraId="70199026"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Female sex</w:t>
            </w:r>
            <w:r>
              <w:rPr>
                <w:rFonts w:asciiTheme="majorHAnsi" w:eastAsia="Arial" w:hAnsiTheme="majorHAnsi" w:cstheme="majorHAnsi"/>
                <w:sz w:val="20"/>
                <w:szCs w:val="20"/>
              </w:rPr>
              <w:t xml:space="preserve"> association with histologically normal appendix </w:t>
            </w:r>
          </w:p>
        </w:tc>
        <w:tc>
          <w:tcPr>
            <w:tcW w:w="1350" w:type="dxa"/>
            <w:tcBorders>
              <w:top w:val="nil"/>
              <w:left w:val="nil"/>
              <w:bottom w:val="single" w:sz="6" w:space="0" w:color="777777"/>
              <w:right w:val="nil"/>
            </w:tcBorders>
            <w:tcMar>
              <w:top w:w="80" w:type="dxa"/>
              <w:left w:w="80" w:type="dxa"/>
              <w:bottom w:w="80" w:type="dxa"/>
              <w:right w:w="80" w:type="dxa"/>
            </w:tcMar>
          </w:tcPr>
          <w:p w14:paraId="1FBBEDDB"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108/672 (16.1%)</w:t>
            </w:r>
          </w:p>
        </w:tc>
        <w:tc>
          <w:tcPr>
            <w:tcW w:w="1455" w:type="dxa"/>
            <w:tcBorders>
              <w:top w:val="nil"/>
              <w:left w:val="nil"/>
              <w:bottom w:val="single" w:sz="6" w:space="0" w:color="777777"/>
              <w:right w:val="nil"/>
            </w:tcBorders>
            <w:tcMar>
              <w:top w:w="80" w:type="dxa"/>
              <w:left w:w="80" w:type="dxa"/>
              <w:bottom w:w="80" w:type="dxa"/>
              <w:right w:w="80" w:type="dxa"/>
            </w:tcMar>
          </w:tcPr>
          <w:p w14:paraId="07A09B57"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4</w:t>
            </w:r>
            <w:r>
              <w:rPr>
                <w:rFonts w:asciiTheme="majorHAnsi" w:eastAsia="Arial" w:hAnsiTheme="majorHAnsi" w:cstheme="majorHAnsi"/>
                <w:sz w:val="20"/>
                <w:szCs w:val="20"/>
              </w:rPr>
              <w:t>5</w:t>
            </w:r>
            <w:r w:rsidRPr="00D84C69">
              <w:rPr>
                <w:rFonts w:asciiTheme="majorHAnsi" w:eastAsia="Arial" w:hAnsiTheme="majorHAnsi" w:cstheme="majorHAnsi"/>
                <w:sz w:val="20"/>
                <w:szCs w:val="20"/>
              </w:rPr>
              <w:t>/798 (5.5%) male</w:t>
            </w:r>
          </w:p>
        </w:tc>
        <w:tc>
          <w:tcPr>
            <w:tcW w:w="1215" w:type="dxa"/>
            <w:tcBorders>
              <w:top w:val="nil"/>
              <w:left w:val="nil"/>
              <w:bottom w:val="single" w:sz="6" w:space="0" w:color="777777"/>
              <w:right w:val="nil"/>
            </w:tcBorders>
            <w:tcMar>
              <w:top w:w="80" w:type="dxa"/>
              <w:left w:w="80" w:type="dxa"/>
              <w:bottom w:w="80" w:type="dxa"/>
              <w:right w:w="80" w:type="dxa"/>
            </w:tcMar>
          </w:tcPr>
          <w:p w14:paraId="37741599"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3.21 (2.23–4.62)</w:t>
            </w:r>
          </w:p>
        </w:tc>
        <w:tc>
          <w:tcPr>
            <w:tcW w:w="1365" w:type="dxa"/>
            <w:tcBorders>
              <w:top w:val="nil"/>
              <w:left w:val="nil"/>
              <w:bottom w:val="single" w:sz="6" w:space="0" w:color="777777"/>
              <w:right w:val="nil"/>
            </w:tcBorders>
            <w:tcMar>
              <w:top w:w="80" w:type="dxa"/>
              <w:left w:w="80" w:type="dxa"/>
              <w:bottom w:w="80" w:type="dxa"/>
              <w:right w:w="80" w:type="dxa"/>
            </w:tcMar>
          </w:tcPr>
          <w:p w14:paraId="7B6D62E0"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2.77 (1.90–4.04)</w:t>
            </w:r>
          </w:p>
        </w:tc>
        <w:tc>
          <w:tcPr>
            <w:tcW w:w="915" w:type="dxa"/>
            <w:tcBorders>
              <w:top w:val="nil"/>
              <w:left w:val="nil"/>
              <w:bottom w:val="single" w:sz="6" w:space="0" w:color="777777"/>
              <w:right w:val="nil"/>
            </w:tcBorders>
            <w:tcMar>
              <w:top w:w="80" w:type="dxa"/>
              <w:left w:w="80" w:type="dxa"/>
              <w:bottom w:w="80" w:type="dxa"/>
              <w:right w:w="80" w:type="dxa"/>
            </w:tcMar>
          </w:tcPr>
          <w:p w14:paraId="2E77127A"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P &lt; 0.001</w:t>
            </w:r>
          </w:p>
        </w:tc>
      </w:tr>
      <w:tr w:rsidR="00BD481A" w:rsidRPr="00D84C69" w14:paraId="393638E2" w14:textId="77777777" w:rsidTr="005E7943">
        <w:tblPrEx>
          <w:tblCellMar>
            <w:top w:w="0" w:type="dxa"/>
            <w:bottom w:w="0" w:type="dxa"/>
          </w:tblCellMar>
        </w:tblPrEx>
        <w:trPr>
          <w:trHeight w:val="300"/>
        </w:trPr>
        <w:tc>
          <w:tcPr>
            <w:tcW w:w="1515" w:type="dxa"/>
            <w:tcBorders>
              <w:top w:val="nil"/>
              <w:left w:val="nil"/>
              <w:bottom w:val="single" w:sz="6" w:space="0" w:color="777777"/>
              <w:right w:val="nil"/>
            </w:tcBorders>
            <w:tcMar>
              <w:top w:w="80" w:type="dxa"/>
              <w:left w:w="80" w:type="dxa"/>
              <w:bottom w:w="80" w:type="dxa"/>
              <w:right w:w="80" w:type="dxa"/>
            </w:tcMar>
          </w:tcPr>
          <w:p w14:paraId="65D976B4"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Histologically normal appendix</w:t>
            </w:r>
          </w:p>
        </w:tc>
        <w:tc>
          <w:tcPr>
            <w:tcW w:w="1380" w:type="dxa"/>
            <w:tcBorders>
              <w:top w:val="nil"/>
              <w:left w:val="nil"/>
              <w:bottom w:val="single" w:sz="6" w:space="0" w:color="777777"/>
              <w:right w:val="nil"/>
            </w:tcBorders>
            <w:tcMar>
              <w:top w:w="80" w:type="dxa"/>
              <w:left w:w="80" w:type="dxa"/>
              <w:bottom w:w="80" w:type="dxa"/>
              <w:right w:w="80" w:type="dxa"/>
            </w:tcMar>
          </w:tcPr>
          <w:p w14:paraId="62ABC190" w14:textId="77777777" w:rsidR="00BD481A" w:rsidRPr="00D84C69" w:rsidRDefault="00BD481A" w:rsidP="005E7943">
            <w:pPr>
              <w:bidi w:val="0"/>
              <w:spacing w:after="0" w:line="276" w:lineRule="auto"/>
              <w:rPr>
                <w:rFonts w:asciiTheme="majorHAnsi" w:eastAsia="Arial" w:hAnsiTheme="majorHAnsi" w:cstheme="majorHAnsi"/>
                <w:sz w:val="20"/>
                <w:szCs w:val="20"/>
              </w:rPr>
            </w:pPr>
            <w:sdt>
              <w:sdtPr>
                <w:rPr>
                  <w:rFonts w:asciiTheme="majorHAnsi" w:hAnsiTheme="majorHAnsi" w:cstheme="majorHAnsi"/>
                </w:rPr>
                <w:tag w:val="goog_rdk_10"/>
                <w:id w:val="1709757471"/>
              </w:sdtPr>
              <w:sdtContent>
                <w:r w:rsidRPr="00D84C69">
                  <w:rPr>
                    <w:rFonts w:asciiTheme="majorHAnsi" w:eastAsia="Arial Unicode MS" w:hAnsiTheme="majorHAnsi" w:cstheme="majorHAnsi"/>
                    <w:sz w:val="20"/>
                    <w:szCs w:val="20"/>
                  </w:rPr>
                  <w:t>Age ≥40 years</w:t>
                </w:r>
              </w:sdtContent>
            </w:sdt>
          </w:p>
        </w:tc>
        <w:tc>
          <w:tcPr>
            <w:tcW w:w="1350" w:type="dxa"/>
            <w:tcBorders>
              <w:top w:val="nil"/>
              <w:left w:val="nil"/>
              <w:bottom w:val="single" w:sz="6" w:space="0" w:color="777777"/>
              <w:right w:val="nil"/>
            </w:tcBorders>
            <w:tcMar>
              <w:top w:w="80" w:type="dxa"/>
              <w:left w:w="80" w:type="dxa"/>
              <w:bottom w:w="80" w:type="dxa"/>
              <w:right w:w="80" w:type="dxa"/>
            </w:tcMar>
          </w:tcPr>
          <w:p w14:paraId="722D99E9"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69/264 (26.1%)</w:t>
            </w:r>
          </w:p>
        </w:tc>
        <w:tc>
          <w:tcPr>
            <w:tcW w:w="1455" w:type="dxa"/>
            <w:tcBorders>
              <w:top w:val="nil"/>
              <w:left w:val="nil"/>
              <w:bottom w:val="single" w:sz="6" w:space="0" w:color="777777"/>
              <w:right w:val="nil"/>
            </w:tcBorders>
            <w:tcMar>
              <w:top w:w="80" w:type="dxa"/>
              <w:left w:w="80" w:type="dxa"/>
              <w:bottom w:w="80" w:type="dxa"/>
              <w:right w:w="80" w:type="dxa"/>
            </w:tcMar>
          </w:tcPr>
          <w:p w14:paraId="5A766F5D"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83/1206 (6.9%) aged &lt;40</w:t>
            </w:r>
          </w:p>
        </w:tc>
        <w:tc>
          <w:tcPr>
            <w:tcW w:w="1215" w:type="dxa"/>
            <w:tcBorders>
              <w:top w:val="nil"/>
              <w:left w:val="nil"/>
              <w:bottom w:val="single" w:sz="6" w:space="0" w:color="777777"/>
              <w:right w:val="nil"/>
            </w:tcBorders>
            <w:tcMar>
              <w:top w:w="80" w:type="dxa"/>
              <w:left w:w="80" w:type="dxa"/>
              <w:bottom w:w="80" w:type="dxa"/>
              <w:right w:w="80" w:type="dxa"/>
            </w:tcMar>
          </w:tcPr>
          <w:p w14:paraId="0C9B1609"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4.79 (3.36–6.82)</w:t>
            </w:r>
          </w:p>
        </w:tc>
        <w:tc>
          <w:tcPr>
            <w:tcW w:w="1365" w:type="dxa"/>
            <w:tcBorders>
              <w:top w:val="nil"/>
              <w:left w:val="nil"/>
              <w:bottom w:val="single" w:sz="6" w:space="0" w:color="777777"/>
              <w:right w:val="nil"/>
            </w:tcBorders>
            <w:tcMar>
              <w:top w:w="80" w:type="dxa"/>
              <w:left w:w="80" w:type="dxa"/>
              <w:bottom w:w="80" w:type="dxa"/>
              <w:right w:w="80" w:type="dxa"/>
            </w:tcMar>
          </w:tcPr>
          <w:p w14:paraId="34A9032E"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4.13 (2.88–5.92)</w:t>
            </w:r>
          </w:p>
        </w:tc>
        <w:tc>
          <w:tcPr>
            <w:tcW w:w="915" w:type="dxa"/>
            <w:tcBorders>
              <w:top w:val="nil"/>
              <w:left w:val="nil"/>
              <w:bottom w:val="single" w:sz="6" w:space="0" w:color="777777"/>
              <w:right w:val="nil"/>
            </w:tcBorders>
            <w:tcMar>
              <w:top w:w="80" w:type="dxa"/>
              <w:left w:w="80" w:type="dxa"/>
              <w:bottom w:w="80" w:type="dxa"/>
              <w:right w:w="80" w:type="dxa"/>
            </w:tcMar>
          </w:tcPr>
          <w:p w14:paraId="52EBC01F" w14:textId="77777777" w:rsidR="00BD481A" w:rsidRPr="00D84C69" w:rsidRDefault="00BD481A" w:rsidP="005E7943">
            <w:pPr>
              <w:bidi w:val="0"/>
              <w:spacing w:after="0" w:line="276" w:lineRule="auto"/>
              <w:rPr>
                <w:rFonts w:asciiTheme="majorHAnsi" w:eastAsia="Arial" w:hAnsiTheme="majorHAnsi" w:cstheme="majorHAnsi"/>
                <w:sz w:val="20"/>
                <w:szCs w:val="20"/>
              </w:rPr>
            </w:pPr>
            <w:r w:rsidRPr="00D84C69">
              <w:rPr>
                <w:rFonts w:asciiTheme="majorHAnsi" w:eastAsia="Arial" w:hAnsiTheme="majorHAnsi" w:cstheme="majorHAnsi"/>
                <w:sz w:val="20"/>
                <w:szCs w:val="20"/>
              </w:rPr>
              <w:t>P &lt; 0.001</w:t>
            </w:r>
          </w:p>
        </w:tc>
      </w:tr>
    </w:tbl>
    <w:p w14:paraId="703104D9" w14:textId="77777777" w:rsidR="00BD481A" w:rsidRPr="00D41067" w:rsidRDefault="00BD481A" w:rsidP="00BD481A">
      <w:pPr>
        <w:bidi w:val="0"/>
        <w:jc w:val="both"/>
        <w:rPr>
          <w:rFonts w:asciiTheme="majorHAnsi" w:eastAsia="Arial" w:hAnsiTheme="majorHAnsi" w:cstheme="majorHAnsi"/>
          <w:b/>
          <w:bCs/>
          <w:sz w:val="20"/>
          <w:szCs w:val="20"/>
        </w:rPr>
      </w:pPr>
      <w:r>
        <w:rPr>
          <w:rFonts w:asciiTheme="majorHAnsi" w:eastAsia="Arial" w:hAnsiTheme="majorHAnsi" w:cstheme="majorHAnsi"/>
          <w:b/>
          <w:bCs/>
          <w:sz w:val="20"/>
          <w:szCs w:val="20"/>
        </w:rPr>
        <w:t>*</w:t>
      </w:r>
      <w:r w:rsidRPr="00D41067">
        <w:rPr>
          <w:rFonts w:asciiTheme="majorHAnsi" w:eastAsia="Arial" w:hAnsiTheme="majorHAnsi" w:cstheme="majorHAnsi"/>
          <w:sz w:val="20"/>
          <w:szCs w:val="20"/>
        </w:rPr>
        <w:t>For the surgical-context analysis, 13 of 141 patients whose appendectomy was performed as part of another operation had incidental histopathological findings, compared with 15 of 1,302 patients undergoing primary appendectomy. The analysis was restricted to complete cases (n = 1,443).</w:t>
      </w:r>
    </w:p>
    <w:p w14:paraId="693A49D7" w14:textId="51FC8DC7" w:rsidR="00BD481A" w:rsidRDefault="00BD481A" w:rsidP="00BD481A">
      <w:pPr>
        <w:jc w:val="right"/>
        <w:rPr>
          <w:rFonts w:hint="cs"/>
        </w:rPr>
      </w:pPr>
    </w:p>
    <w:sectPr w:rsidR="00BD481A" w:rsidSect="00BD481A">
      <w:pgSz w:w="11906" w:h="16838"/>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81A"/>
    <w:rsid w:val="006F7BD2"/>
    <w:rsid w:val="00AC577C"/>
    <w:rsid w:val="00BD48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FBC9"/>
  <w15:chartTrackingRefBased/>
  <w15:docId w15:val="{47D153CE-7D3F-4864-B177-312C1A9B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81A"/>
    <w:pPr>
      <w:bidi/>
    </w:pPr>
    <w:rPr>
      <w:rFonts w:eastAsiaTheme="minorEastAsia"/>
    </w:rPr>
  </w:style>
  <w:style w:type="paragraph" w:styleId="1">
    <w:name w:val="heading 1"/>
    <w:basedOn w:val="a"/>
    <w:next w:val="a"/>
    <w:link w:val="1Char"/>
    <w:uiPriority w:val="9"/>
    <w:qFormat/>
    <w:rsid w:val="00BD4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D4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D48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D48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D48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D48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D48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D48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D48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D481A"/>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BD481A"/>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BD481A"/>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BD481A"/>
    <w:rPr>
      <w:rFonts w:eastAsiaTheme="majorEastAsia" w:cstheme="majorBidi"/>
      <w:i/>
      <w:iCs/>
      <w:color w:val="0F4761" w:themeColor="accent1" w:themeShade="BF"/>
    </w:rPr>
  </w:style>
  <w:style w:type="character" w:customStyle="1" w:styleId="5Char">
    <w:name w:val="عنوان 5 Char"/>
    <w:basedOn w:val="a0"/>
    <w:link w:val="5"/>
    <w:uiPriority w:val="9"/>
    <w:semiHidden/>
    <w:rsid w:val="00BD481A"/>
    <w:rPr>
      <w:rFonts w:eastAsiaTheme="majorEastAsia" w:cstheme="majorBidi"/>
      <w:color w:val="0F4761" w:themeColor="accent1" w:themeShade="BF"/>
    </w:rPr>
  </w:style>
  <w:style w:type="character" w:customStyle="1" w:styleId="6Char">
    <w:name w:val="عنوان 6 Char"/>
    <w:basedOn w:val="a0"/>
    <w:link w:val="6"/>
    <w:uiPriority w:val="9"/>
    <w:semiHidden/>
    <w:rsid w:val="00BD481A"/>
    <w:rPr>
      <w:rFonts w:eastAsiaTheme="majorEastAsia" w:cstheme="majorBidi"/>
      <w:i/>
      <w:iCs/>
      <w:color w:val="595959" w:themeColor="text1" w:themeTint="A6"/>
    </w:rPr>
  </w:style>
  <w:style w:type="character" w:customStyle="1" w:styleId="7Char">
    <w:name w:val="عنوان 7 Char"/>
    <w:basedOn w:val="a0"/>
    <w:link w:val="7"/>
    <w:uiPriority w:val="9"/>
    <w:semiHidden/>
    <w:rsid w:val="00BD481A"/>
    <w:rPr>
      <w:rFonts w:eastAsiaTheme="majorEastAsia" w:cstheme="majorBidi"/>
      <w:color w:val="595959" w:themeColor="text1" w:themeTint="A6"/>
    </w:rPr>
  </w:style>
  <w:style w:type="character" w:customStyle="1" w:styleId="8Char">
    <w:name w:val="عنوان 8 Char"/>
    <w:basedOn w:val="a0"/>
    <w:link w:val="8"/>
    <w:uiPriority w:val="9"/>
    <w:semiHidden/>
    <w:rsid w:val="00BD481A"/>
    <w:rPr>
      <w:rFonts w:eastAsiaTheme="majorEastAsia" w:cstheme="majorBidi"/>
      <w:i/>
      <w:iCs/>
      <w:color w:val="272727" w:themeColor="text1" w:themeTint="D8"/>
    </w:rPr>
  </w:style>
  <w:style w:type="character" w:customStyle="1" w:styleId="9Char">
    <w:name w:val="عنوان 9 Char"/>
    <w:basedOn w:val="a0"/>
    <w:link w:val="9"/>
    <w:uiPriority w:val="9"/>
    <w:semiHidden/>
    <w:rsid w:val="00BD481A"/>
    <w:rPr>
      <w:rFonts w:eastAsiaTheme="majorEastAsia" w:cstheme="majorBidi"/>
      <w:color w:val="272727" w:themeColor="text1" w:themeTint="D8"/>
    </w:rPr>
  </w:style>
  <w:style w:type="paragraph" w:styleId="a3">
    <w:name w:val="Title"/>
    <w:basedOn w:val="a"/>
    <w:next w:val="a"/>
    <w:link w:val="Char"/>
    <w:uiPriority w:val="10"/>
    <w:qFormat/>
    <w:rsid w:val="00BD4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BD48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D481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BD48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D481A"/>
    <w:pPr>
      <w:spacing w:before="160"/>
      <w:jc w:val="center"/>
    </w:pPr>
    <w:rPr>
      <w:rFonts w:eastAsiaTheme="minorHAnsi"/>
      <w:i/>
      <w:iCs/>
      <w:color w:val="404040" w:themeColor="text1" w:themeTint="BF"/>
    </w:rPr>
  </w:style>
  <w:style w:type="character" w:customStyle="1" w:styleId="Char1">
    <w:name w:val="اقتباس Char"/>
    <w:basedOn w:val="a0"/>
    <w:link w:val="a5"/>
    <w:uiPriority w:val="29"/>
    <w:rsid w:val="00BD481A"/>
    <w:rPr>
      <w:i/>
      <w:iCs/>
      <w:color w:val="404040" w:themeColor="text1" w:themeTint="BF"/>
    </w:rPr>
  </w:style>
  <w:style w:type="paragraph" w:styleId="a6">
    <w:name w:val="List Paragraph"/>
    <w:basedOn w:val="a"/>
    <w:uiPriority w:val="34"/>
    <w:qFormat/>
    <w:rsid w:val="00BD481A"/>
    <w:pPr>
      <w:ind w:left="720"/>
      <w:contextualSpacing/>
    </w:pPr>
    <w:rPr>
      <w:rFonts w:eastAsiaTheme="minorHAnsi"/>
    </w:rPr>
  </w:style>
  <w:style w:type="character" w:styleId="a7">
    <w:name w:val="Intense Emphasis"/>
    <w:basedOn w:val="a0"/>
    <w:uiPriority w:val="21"/>
    <w:qFormat/>
    <w:rsid w:val="00BD481A"/>
    <w:rPr>
      <w:i/>
      <w:iCs/>
      <w:color w:val="0F4761" w:themeColor="accent1" w:themeShade="BF"/>
    </w:rPr>
  </w:style>
  <w:style w:type="paragraph" w:styleId="a8">
    <w:name w:val="Intense Quote"/>
    <w:basedOn w:val="a"/>
    <w:next w:val="a"/>
    <w:link w:val="Char2"/>
    <w:uiPriority w:val="30"/>
    <w:qFormat/>
    <w:rsid w:val="00BD481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Char2">
    <w:name w:val="اقتباس مكثف Char"/>
    <w:basedOn w:val="a0"/>
    <w:link w:val="a8"/>
    <w:uiPriority w:val="30"/>
    <w:rsid w:val="00BD481A"/>
    <w:rPr>
      <w:i/>
      <w:iCs/>
      <w:color w:val="0F4761" w:themeColor="accent1" w:themeShade="BF"/>
    </w:rPr>
  </w:style>
  <w:style w:type="character" w:styleId="a9">
    <w:name w:val="Intense Reference"/>
    <w:basedOn w:val="a0"/>
    <w:uiPriority w:val="32"/>
    <w:qFormat/>
    <w:rsid w:val="00BD48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 Bb</dc:creator>
  <cp:keywords/>
  <dc:description/>
  <cp:lastModifiedBy>Hh Bb</cp:lastModifiedBy>
  <cp:revision>1</cp:revision>
  <dcterms:created xsi:type="dcterms:W3CDTF">2026-09-08T12:22:00Z</dcterms:created>
  <dcterms:modified xsi:type="dcterms:W3CDTF">2026-09-08T12:24:00Z</dcterms:modified>
</cp:coreProperties>
</file>