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CE904" w14:textId="77777777" w:rsidR="00EB04F1" w:rsidRPr="00B812B4" w:rsidRDefault="00EB04F1" w:rsidP="00EB04F1">
      <w:pPr>
        <w:pStyle w:val="Heading1"/>
        <w:rPr>
          <w:sz w:val="32"/>
          <w:szCs w:val="32"/>
        </w:rPr>
      </w:pPr>
      <w:bookmarkStart w:id="0" w:name="_Toc85470715"/>
      <w:r w:rsidRPr="006D57BE">
        <w:rPr>
          <w:b/>
          <w:bCs/>
          <w:sz w:val="32"/>
          <w:szCs w:val="32"/>
        </w:rPr>
        <w:t xml:space="preserve">Supplement </w:t>
      </w:r>
      <w:r>
        <w:rPr>
          <w:b/>
          <w:bCs/>
          <w:sz w:val="32"/>
          <w:szCs w:val="32"/>
        </w:rPr>
        <w:t>7</w:t>
      </w:r>
      <w:r w:rsidRPr="006D57BE">
        <w:rPr>
          <w:b/>
          <w:bCs/>
          <w:sz w:val="32"/>
          <w:szCs w:val="32"/>
        </w:rPr>
        <w:t>.</w:t>
      </w:r>
      <w:r w:rsidRPr="00B812B4">
        <w:rPr>
          <w:sz w:val="32"/>
          <w:szCs w:val="32"/>
        </w:rPr>
        <w:t xml:space="preserve"> Clinician Notification Letters</w:t>
      </w:r>
      <w:bookmarkEnd w:id="0"/>
    </w:p>
    <w:p w14:paraId="7A343523" w14:textId="77777777" w:rsidR="00EB04F1" w:rsidRPr="00B812B4" w:rsidRDefault="00EB04F1" w:rsidP="00EB04F1">
      <w:pPr>
        <w:pStyle w:val="Heading2"/>
        <w:rPr>
          <w:sz w:val="28"/>
          <w:szCs w:val="28"/>
        </w:rPr>
      </w:pPr>
      <w:bookmarkStart w:id="1" w:name="_Toc85470716"/>
      <w:r w:rsidRPr="00B812B4">
        <w:rPr>
          <w:sz w:val="28"/>
          <w:szCs w:val="28"/>
        </w:rPr>
        <w:t>Letter for Clinician Notification Quality Improvement Strategy</w:t>
      </w:r>
      <w:bookmarkEnd w:id="1"/>
      <w:r w:rsidRPr="00B812B4">
        <w:rPr>
          <w:sz w:val="28"/>
          <w:szCs w:val="28"/>
        </w:rPr>
        <w:t xml:space="preserve"> </w:t>
      </w:r>
    </w:p>
    <w:p w14:paraId="3FE77521" w14:textId="77777777" w:rsidR="00EB04F1" w:rsidRDefault="00EB04F1" w:rsidP="00EB04F1">
      <w:r>
        <w:t>[Date]</w:t>
      </w:r>
    </w:p>
    <w:p w14:paraId="2D853EBE" w14:textId="77777777" w:rsidR="00EB04F1" w:rsidRDefault="00EB04F1" w:rsidP="00EB04F1"/>
    <w:p w14:paraId="6BC4CB00" w14:textId="77777777" w:rsidR="00EB04F1" w:rsidRDefault="00EB04F1" w:rsidP="00EB04F1">
      <w:r>
        <w:t xml:space="preserve">Dear [clinician name], </w:t>
      </w:r>
    </w:p>
    <w:p w14:paraId="77AC9FE1" w14:textId="77777777" w:rsidR="00EB04F1" w:rsidRDefault="00EB04F1" w:rsidP="00EB04F1"/>
    <w:p w14:paraId="347E75B2" w14:textId="77777777" w:rsidR="00EB04F1" w:rsidRDefault="00EB04F1" w:rsidP="00EB04F1">
      <w:r>
        <w:t xml:space="preserve">As part of an anticoagulation clinic safety initiative, I am contacting you about your patient [patient name] (MRN: [MRN]).  This patient is at high risk for upper gastrointestinal bleeding due to combination warfarin and antiplatelet therapy without proton pump inhibitor (PPI) gastroprotection. </w:t>
      </w:r>
    </w:p>
    <w:p w14:paraId="72760A59" w14:textId="77777777" w:rsidR="00EB04F1" w:rsidRDefault="00EB04F1" w:rsidP="00EB04F1"/>
    <w:p w14:paraId="3577EC9F" w14:textId="77777777" w:rsidR="00EB04F1" w:rsidRDefault="00EB04F1" w:rsidP="00EB04F1">
      <w:r>
        <w:t xml:space="preserve">Antiplatelet Medications: </w:t>
      </w:r>
    </w:p>
    <w:p w14:paraId="54BD6601" w14:textId="77777777" w:rsidR="00EB04F1" w:rsidRDefault="00EB04F1" w:rsidP="00EB04F1">
      <w:r>
        <w:t>[List antiplatelet drugs in patient’s current medication list]</w:t>
      </w:r>
    </w:p>
    <w:p w14:paraId="00FF10D4" w14:textId="77777777" w:rsidR="00EB04F1" w:rsidRDefault="00EB04F1" w:rsidP="00EB04F1"/>
    <w:p w14:paraId="54354E09" w14:textId="51C495E7" w:rsidR="00EB04F1" w:rsidRDefault="00EB04F1" w:rsidP="00EB04F1">
      <w:r>
        <w:t xml:space="preserve">The risk for upper GI bleeding with combination warfarin and antiplatelet therapy is as high as 2.8% per year </w:t>
      </w:r>
      <w:r>
        <w:fldChar w:fldCharType="begin"/>
      </w:r>
      <w:r>
        <w:instrText xml:space="preserve"> ADDIN ZOTERO_ITEM CSL_CITATION {"citationID":"wUgeKpW8","properties":{"formattedCitation":"\\super 1\\nosupersub{}","plainCitation":"1","noteIndex":0},"citationItems":[{"id":49785,"uris":["http://zotero.org/users/6109333/items/WLECQ86C"],"uri":["http://zotero.org/users/6109333/items/WLECQ86C"],"itemData":{"id":49785,"type":"article-journal","abstract":"BACKGROUND: Gastroprotectant drugs are used for the prevention and treatment of peptic ulcer disease and might reduce its associated complications, but reliable estimates of the effects of gastroprotectants in different clinical settings are scarce. We aimed to examine the effects of proton-pump inhibitors (PPIs), prostaglandin analogues, and histamine-2 receptor antagonists (H2RAs) in different clinical circumstances by doing meta-analyses of tabular data from all relevant unconfounded randomised trials of gastroprotectant drugs.\nMETHODS: We searched MEDLINE and Embase from Jan 1, 1950, to Dec 31, 2015, to identify unconfounded, randomised trials of a gastroprotectant drug (defined as a PPI, prostaglandin analogue, or H2RA) versus control, or versus another gastroprotectant. Two independent researchers reviewed the search results and extracted the prespecified outcomes and key characteristics for each trial. We did meta-analyses of the effects of gastroprotectant drugs on ulcer development, bleeding, and mortality overall, according to the class of gastroprotectant, and according to the individual drug within a gastroprotectant class.\nFINDINGS: We identified comparisons of gastroprotectant versus control in 849 trials (142 485 participants): 580 prevention trials (110 626 participants), 233 healing trials (24 033 participants), and 36 trials for the treatment of acute upper gastrointestinal bleeding (7826 participants). Comparisons of one gastroprotectant drug versus another were available in 345 trials (64 905 participants), comprising 160 prevention trials (32 959 participants), 167 healing trials (28 306 participants), and 18 trials for treatment of acute upper gastrointestinal bleeding (3640 participants). The median number of patients in each trial was 78 (IQR 44·0-210·5) and the median duration was 1·4 months (0·9-2·8). In prevention trials, gastroprotectant drugs reduced development of endoscopic ulcers (odds ratio [OR] 0·27, 95% CI 0·25-0·29; p&lt;0·0001), symptomatic ulcers (0·25, 0·22-0·29; p&lt;0·0001), and upper gastrointestinal bleeding (0·40, 0·32-0·50; p&lt;0·0001), but did not significantly reduce mortality (0·85, 0·69-1·04; p=0·11). Larger proportional reductions in upper gastrointestinal bleeding were observed for PPIs than for other gastroprotectant drugs (PPIs 0·21, 99% CI 0·12-0·36; prostaglandin analogues 0·63, 0·35-1·12; H2RAs 0·49, 0·30-0·80; phet=0·0005). Gastroprotectant drugs were effective in preventing bleeding irrespective of the use of non-steroidal anti-inflammatory drugs (phet=0·56). In healing trials, gastroprotectants increased endoscopic ulcer healing (3·49, 95% CI 3·28-3·72; p&lt;0·0001), with PPIs more effective (5·22, 99% CI 4·00-6·80) than prostaglandin analogues (2·27, 1·91-2·70) and H2RAs (3·80, 3·44-4·20; phet&lt;0·0001). In trials among patients with acute bleeding, gastroprotectants reduced further bleeding (OR 0·68, 95% CI 0·60-0·78; p&lt;0·0001), blood transfusion (0·75, 0·65-0·88; p=0·0003), further endoscopic intervention (0·56, 0·45-0·70; p&lt;0·0001), and surgery (0·72, 0·61-0·84; p&lt;0·0001), but did not significantly reduce mortality (OR 0·90, 0·72-1·11; p=0·31). PPIs had larger protective effects than did H2RAs for further bleeding (phet=0·0107) and blood transfusion (phet=0·0130).\nINTERPRETATION: Gastroprotectants, in particular PPIs, reduce the risk of peptic ulcer disease and its complications and promote healing of peptic ulcers in a wide range of clinical circumstances. However, this meta-analysis might have overestimated the benefits owing to small study bias.\nFUNDING: UK Medical Research Council and the British Heart Foundation.","container-title":"The Lancet. Gastroenterology &amp; Hepatology","DOI":"10.1016/S2468-1253(18)30037-2","ISSN":"2468-1253","issue":"4","journalAbbreviation":"Lancet Gastroenterol Hepatol","language":"eng","note":"PMID: 29475806\nPMCID: PMC5842491","page":"231-241","source":"PubMed","title":"Effects of gastroprotectant drugs for the prevention and treatment of peptic ulcer disease and its complications: a meta-analysis of randomised trials","title-short":"Effects of gastroprotectant drugs for the prevention and treatment of peptic ulcer disease and its complications","volume":"3","author":[{"family":"Scally","given":"Benjamin"},{"family":"Emberson","given":"Jonathan R."},{"family":"Spata","given":"Enti"},{"family":"Reith","given":"Christina"},{"family":"Davies","given":"Kelly"},{"family":"Halls","given":"Heather"},{"family":"Holland","given":"Lisa"},{"family":"Wilson","given":"Kate"},{"family":"Bhala","given":"Neeraj"},{"family":"Hawkey","given":"Christopher"},{"family":"Hochberg","given":"Marc"},{"family":"Hunt","given":"Richard"},{"family":"Laine","given":"Loren"},{"family":"Lanas","given":"Angel"},{"family":"Patrono","given":"Carlo"},{"family":"Baigent","given":"Colin"}],"issued":{"date-parts":[["2018",4]]}}}],"schema":"https://github.com/citation-style-language/schema/raw/master/csl-citation.json"} </w:instrText>
      </w:r>
      <w:r>
        <w:fldChar w:fldCharType="separate"/>
      </w:r>
      <w:r w:rsidRPr="00EB04F1">
        <w:rPr>
          <w:szCs w:val="24"/>
          <w:vertAlign w:val="superscript"/>
        </w:rPr>
        <w:t>1</w:t>
      </w:r>
      <w:r>
        <w:fldChar w:fldCharType="end"/>
      </w:r>
      <w:r>
        <w:t xml:space="preserve">. For patients who require ongoing combination warfarin and antiplatelet therapy, professional guidance recommends the use of a proton pump inhibitor </w:t>
      </w:r>
      <w:r>
        <w:fldChar w:fldCharType="begin"/>
      </w:r>
      <w:r>
        <w:instrText xml:space="preserve"> ADDIN ZOTERO_ITEM CSL_CITATION {"citationID":"eq4albvL","properties":{"formattedCitation":"\\super 2\\nosupersub{}","plainCitation":"2","noteIndex":0},"citationItems":[{"id":49781,"uris":["http://zotero.org/users/6109333/items/FAC9FQ66"],"uri":["http://zotero.org/users/6109333/items/FAC9FQ66"],"itemData":{"id":49781,"type":"article-journal","container-title":"Journal of the American College of Cardiology","DOI":"10.1016/j.jacc.2008.08.002","ISSN":"1558-3597","issue":"18","journalAbbreviation":"J Am Coll Cardiol","language":"eng","note":"PMID: 19017521","page":"1502-1517","source":"PubMed","title":"ACCF/ACG/AHA 2008 expert consensus document on reducing the gastrointestinal risks of antiplatelet therapy and NSAID use: a report of the American College of Cardiology Foundation Task Force on Clinical Expert Consensus Documents","title-short":"ACCF/ACG/AHA 2008 expert consensus document on reducing the gastrointestinal risks of antiplatelet therapy and NSAID use","volume":"52","author":[{"family":"Bhatt","given":"Deepak L."},{"family":"Scheiman","given":"James"},{"family":"Abraham","given":"Neena S."},{"family":"Antman","given":"Elliott M."},{"family":"Chan","given":"Francis K. L."},{"family":"Furberg","given":"Curt D."},{"family":"Johnson","given":"David A."},{"family":"Mahaffey","given":"Kenneth W."},{"family":"Quigley","given":"Eamonn M."},{"family":"Harrington","given":"Robert A."},{"family":"Bates","given":"Eric R."},{"family":"Bridges","given":"Charles R."},{"family":"Eisenberg","given":"Mark J."},{"family":"Ferrari","given":"Victor A."},{"family":"Hlatky","given":"Mark A."},{"family":"Kaul","given":"Sanjay"},{"family":"Lindner","given":"Jonathan R."},{"family":"Moliterno","given":"David J."},{"family":"Mukherjee","given":"Debabrata"},{"family":"Schofield","given":"Richard S."},{"family":"Rosenson","given":"Robert S."},{"family":"Stein","given":"James H."},{"family":"Weitz","given":"Howard H."},{"family":"Wesley","given":"Deborah J."},{"literal":"American College of Cardiology Foundation Task Force on Clinical Expert Consensus Documents"}],"issued":{"date-parts":[["2008",10,28]]}}}],"schema":"https://github.com/citation-style-language/schema/raw/master/csl-citation.json"} </w:instrText>
      </w:r>
      <w:r>
        <w:fldChar w:fldCharType="separate"/>
      </w:r>
      <w:r w:rsidRPr="00EB04F1">
        <w:rPr>
          <w:szCs w:val="24"/>
          <w:vertAlign w:val="superscript"/>
        </w:rPr>
        <w:t>2</w:t>
      </w:r>
      <w:r>
        <w:fldChar w:fldCharType="end"/>
      </w:r>
      <w:r>
        <w:t>.</w:t>
      </w:r>
    </w:p>
    <w:p w14:paraId="1BFF91E1" w14:textId="77777777" w:rsidR="00EB04F1" w:rsidRPr="00B812B4" w:rsidRDefault="00EB04F1" w:rsidP="00EB04F1">
      <w:pPr>
        <w:rPr>
          <w:u w:val="single"/>
        </w:rPr>
      </w:pPr>
      <w:r>
        <w:t xml:space="preserve"> </w:t>
      </w:r>
    </w:p>
    <w:p w14:paraId="368C252D" w14:textId="77777777" w:rsidR="00EB04F1" w:rsidRPr="00B812B4" w:rsidRDefault="00EB04F1" w:rsidP="00EB04F1">
      <w:pPr>
        <w:rPr>
          <w:u w:val="single"/>
        </w:rPr>
      </w:pPr>
      <w:r w:rsidRPr="00B812B4">
        <w:rPr>
          <w:u w:val="single"/>
        </w:rPr>
        <w:t xml:space="preserve">Please consider </w:t>
      </w:r>
      <w:r w:rsidRPr="00B812B4">
        <w:rPr>
          <w:b/>
          <w:bCs/>
          <w:color w:val="FF0000"/>
          <w:u w:val="single"/>
        </w:rPr>
        <w:t>one</w:t>
      </w:r>
      <w:r w:rsidRPr="00B812B4">
        <w:rPr>
          <w:u w:val="single"/>
        </w:rPr>
        <w:t xml:space="preserve"> of the following medication changes:</w:t>
      </w:r>
    </w:p>
    <w:p w14:paraId="397B1148" w14:textId="77777777" w:rsidR="00EB04F1" w:rsidRDefault="00EB04F1" w:rsidP="00EB04F1"/>
    <w:p w14:paraId="4152BA24" w14:textId="77777777" w:rsidR="00EB04F1" w:rsidRDefault="00EB04F1" w:rsidP="00EB04F1">
      <w:pPr>
        <w:pStyle w:val="ListParagraph"/>
        <w:numPr>
          <w:ilvl w:val="0"/>
          <w:numId w:val="1"/>
        </w:numPr>
      </w:pPr>
      <w:r w:rsidRPr="002A3797">
        <w:rPr>
          <w:b/>
          <w:bCs/>
        </w:rPr>
        <w:t xml:space="preserve">Discontinue antiplatelet therapy if appropriate and remove </w:t>
      </w:r>
      <w:r>
        <w:rPr>
          <w:b/>
          <w:bCs/>
        </w:rPr>
        <w:t xml:space="preserve">the antiplatelet drug </w:t>
      </w:r>
      <w:r w:rsidRPr="002A3797">
        <w:rPr>
          <w:b/>
          <w:bCs/>
        </w:rPr>
        <w:t xml:space="preserve">from the medication list. </w:t>
      </w:r>
    </w:p>
    <w:p w14:paraId="1DBBDFC1" w14:textId="77777777" w:rsidR="00EB04F1" w:rsidRDefault="00EB04F1" w:rsidP="00EB04F1"/>
    <w:p w14:paraId="4B83BF70" w14:textId="77777777" w:rsidR="00EB04F1" w:rsidRDefault="00EB04F1" w:rsidP="00EB04F1">
      <w:pPr>
        <w:ind w:left="360"/>
      </w:pPr>
      <w:r>
        <w:t>OR</w:t>
      </w:r>
    </w:p>
    <w:p w14:paraId="1853FABD" w14:textId="77777777" w:rsidR="00EB04F1" w:rsidRDefault="00EB04F1" w:rsidP="00EB04F1"/>
    <w:p w14:paraId="68C6F056" w14:textId="77777777" w:rsidR="00EB04F1" w:rsidRDefault="00EB04F1" w:rsidP="00EB04F1">
      <w:pPr>
        <w:pStyle w:val="ListParagraph"/>
        <w:numPr>
          <w:ilvl w:val="0"/>
          <w:numId w:val="1"/>
        </w:numPr>
      </w:pPr>
      <w:r w:rsidRPr="002A3797">
        <w:rPr>
          <w:b/>
          <w:bCs/>
        </w:rPr>
        <w:t>If you determine antiplatelet therapy should continue, prescribe a daily proton pump inhibitor (e.g., omeprazole 20 mg daily) for the duration of combination antithrombotic treatment.</w:t>
      </w:r>
      <w:r>
        <w:t xml:space="preserve"> In the prescription, please denote the indication as gastroprotection.</w:t>
      </w:r>
    </w:p>
    <w:p w14:paraId="32FEFE9E" w14:textId="77777777" w:rsidR="00EB04F1" w:rsidRDefault="00EB04F1" w:rsidP="00EB04F1">
      <w:pPr>
        <w:autoSpaceDE w:val="0"/>
        <w:autoSpaceDN w:val="0"/>
        <w:adjustRightInd w:val="0"/>
        <w:spacing w:line="240" w:lineRule="auto"/>
        <w:rPr>
          <w:szCs w:val="24"/>
        </w:rPr>
      </w:pPr>
    </w:p>
    <w:p w14:paraId="7B7AB209" w14:textId="1DDE91F2" w:rsidR="00EB04F1" w:rsidRPr="0075506F" w:rsidRDefault="00EB04F1" w:rsidP="00EB04F1">
      <w:pPr>
        <w:autoSpaceDE w:val="0"/>
        <w:autoSpaceDN w:val="0"/>
        <w:adjustRightInd w:val="0"/>
        <w:spacing w:line="240" w:lineRule="auto"/>
        <w:rPr>
          <w:szCs w:val="24"/>
        </w:rPr>
      </w:pPr>
      <w:r w:rsidRPr="0075506F">
        <w:rPr>
          <w:szCs w:val="24"/>
        </w:rPr>
        <w:t>To help with this decision, you may w</w:t>
      </w:r>
      <w:r>
        <w:rPr>
          <w:szCs w:val="24"/>
        </w:rPr>
        <w:t xml:space="preserve">ish </w:t>
      </w:r>
      <w:r w:rsidRPr="0075506F">
        <w:rPr>
          <w:szCs w:val="24"/>
        </w:rPr>
        <w:t xml:space="preserve">to visit this site: Guidance on appropriate use of CAT. [links to full guideline summary available in supplement </w:t>
      </w:r>
      <w:r w:rsidR="007A6E2F">
        <w:rPr>
          <w:szCs w:val="24"/>
        </w:rPr>
        <w:t>6</w:t>
      </w:r>
      <w:r w:rsidRPr="0075506F">
        <w:rPr>
          <w:szCs w:val="24"/>
        </w:rPr>
        <w:t xml:space="preserve">] </w:t>
      </w:r>
      <w:r>
        <w:rPr>
          <w:szCs w:val="24"/>
        </w:rPr>
        <w:t xml:space="preserve">on the Michigan Medicine intranet, where you can review a concise summary of the recommended duration of combination antithrombotic therapy for various indications. </w:t>
      </w:r>
    </w:p>
    <w:p w14:paraId="2D0CFDC7" w14:textId="77777777" w:rsidR="00EB04F1" w:rsidRDefault="00EB04F1" w:rsidP="00EB04F1"/>
    <w:p w14:paraId="66709488" w14:textId="77777777" w:rsidR="00EB04F1" w:rsidRDefault="00EB04F1" w:rsidP="00EB04F1">
      <w:r>
        <w:t>Please respond to this message by selecting one of the following responses below to alert the anticoagulation clinic service of your plan to address this safety concern.</w:t>
      </w:r>
    </w:p>
    <w:p w14:paraId="07FF0C10" w14:textId="77777777" w:rsidR="00EB04F1" w:rsidRDefault="00EB04F1" w:rsidP="00EB04F1">
      <w:pPr>
        <w:ind w:left="720"/>
      </w:pPr>
    </w:p>
    <w:p w14:paraId="5E7E6F71" w14:textId="77777777" w:rsidR="00EB04F1" w:rsidRDefault="00EB04F1" w:rsidP="00EB04F1">
      <w:pPr>
        <w:pStyle w:val="ListParagraph"/>
        <w:numPr>
          <w:ilvl w:val="0"/>
          <w:numId w:val="5"/>
        </w:numPr>
      </w:pPr>
      <w:r>
        <w:t>I plan to discontinue antiplatelet therapy for this patient.</w:t>
      </w:r>
    </w:p>
    <w:p w14:paraId="338633A5" w14:textId="77777777" w:rsidR="00EB04F1" w:rsidRDefault="00EB04F1" w:rsidP="00EB04F1">
      <w:pPr>
        <w:pStyle w:val="ListParagraph"/>
        <w:numPr>
          <w:ilvl w:val="0"/>
          <w:numId w:val="5"/>
        </w:numPr>
      </w:pPr>
      <w:r>
        <w:t>I plan to initiate a proton pump inhibitor for the duration of combination antithrombotic therapy.</w:t>
      </w:r>
    </w:p>
    <w:p w14:paraId="3E780281" w14:textId="77777777" w:rsidR="00EB04F1" w:rsidRDefault="00EB04F1" w:rsidP="00EB04F1"/>
    <w:p w14:paraId="1D04E63B" w14:textId="77777777" w:rsidR="00EB04F1" w:rsidRPr="00B812B4" w:rsidRDefault="00EB04F1" w:rsidP="00EB04F1">
      <w:pPr>
        <w:rPr>
          <w:b/>
          <w:bCs/>
        </w:rPr>
      </w:pPr>
      <w:r w:rsidRPr="00B812B4">
        <w:rPr>
          <w:b/>
          <w:bCs/>
        </w:rPr>
        <w:t xml:space="preserve">Dotphrases you may find useful: </w:t>
      </w:r>
    </w:p>
    <w:p w14:paraId="60013754" w14:textId="77777777" w:rsidR="00EB04F1" w:rsidRDefault="00EB04F1" w:rsidP="00EB04F1">
      <w:pPr>
        <w:ind w:left="720"/>
      </w:pPr>
      <w:r w:rsidRPr="00B812B4">
        <w:rPr>
          <w:b/>
          <w:bCs/>
        </w:rPr>
        <w:t>.stopantiplt</w:t>
      </w:r>
      <w:r>
        <w:t xml:space="preserve"> – Instructions you can forward to your support staff to recommend that the patient discontinue anti-platelet therapy.</w:t>
      </w:r>
    </w:p>
    <w:p w14:paraId="29B47FD0" w14:textId="77777777" w:rsidR="00EB04F1" w:rsidRDefault="00EB04F1" w:rsidP="00EB04F1">
      <w:pPr>
        <w:ind w:left="720"/>
      </w:pPr>
      <w:r w:rsidRPr="00B812B4">
        <w:rPr>
          <w:b/>
          <w:bCs/>
        </w:rPr>
        <w:t>.startppi</w:t>
      </w:r>
      <w:r>
        <w:t xml:space="preserve"> – Instructions you can forward to your support staff to recommend that the patient initiate a PPI.</w:t>
      </w:r>
    </w:p>
    <w:p w14:paraId="0C98106E" w14:textId="77777777" w:rsidR="00EB04F1" w:rsidRDefault="00EB04F1" w:rsidP="00EB04F1">
      <w:pPr>
        <w:ind w:left="720"/>
      </w:pPr>
      <w:r w:rsidRPr="00B812B4">
        <w:rPr>
          <w:b/>
          <w:bCs/>
        </w:rPr>
        <w:t>.antiplateletinquiry</w:t>
      </w:r>
      <w:r>
        <w:t xml:space="preserve"> – A message to facilitate discussion of the appropriateness of antiplatelet therapy with a colleague.</w:t>
      </w:r>
    </w:p>
    <w:p w14:paraId="40BAF279" w14:textId="77777777" w:rsidR="00EB04F1" w:rsidRDefault="00EB04F1" w:rsidP="00EB04F1"/>
    <w:p w14:paraId="5EF4F3BB" w14:textId="77777777" w:rsidR="00EB04F1" w:rsidRDefault="00EB04F1" w:rsidP="00EB04F1">
      <w:r>
        <w:t>Thank you for your time and effort in this important initiative.</w:t>
      </w:r>
    </w:p>
    <w:p w14:paraId="76373CB9" w14:textId="77777777" w:rsidR="00EB04F1" w:rsidRDefault="00EB04F1" w:rsidP="00EB04F1"/>
    <w:p w14:paraId="402185B6" w14:textId="77777777" w:rsidR="00EB04F1" w:rsidRDefault="00EB04F1" w:rsidP="00EB04F1">
      <w:r>
        <w:t>Sincerely,</w:t>
      </w:r>
    </w:p>
    <w:p w14:paraId="61135E5F" w14:textId="77777777" w:rsidR="00EB04F1" w:rsidRDefault="00EB04F1" w:rsidP="00EB04F1">
      <w:r>
        <w:t>[RN name]</w:t>
      </w:r>
    </w:p>
    <w:p w14:paraId="3F1858C0" w14:textId="77777777" w:rsidR="00EB04F1" w:rsidRPr="0075506F" w:rsidRDefault="00EB04F1" w:rsidP="00EB04F1">
      <w:pPr>
        <w:rPr>
          <w:b/>
          <w:bCs/>
        </w:rPr>
      </w:pPr>
      <w:r w:rsidRPr="0075506F">
        <w:rPr>
          <w:b/>
          <w:bCs/>
        </w:rPr>
        <w:t xml:space="preserve">(Please route back to sender) </w:t>
      </w:r>
    </w:p>
    <w:p w14:paraId="2411895B" w14:textId="77777777" w:rsidR="00EB04F1" w:rsidRDefault="00EB04F1" w:rsidP="00EB04F1"/>
    <w:p w14:paraId="4FCF2619" w14:textId="77777777" w:rsidR="00EB04F1" w:rsidRDefault="00EB04F1" w:rsidP="00EB04F1"/>
    <w:p w14:paraId="38C1E8A5" w14:textId="1D718AE7" w:rsidR="00EB04F1" w:rsidRPr="00EB04F1" w:rsidRDefault="00EB04F1" w:rsidP="00EB04F1">
      <w:pPr>
        <w:rPr>
          <w:b/>
          <w:bCs/>
          <w:u w:val="single"/>
        </w:rPr>
      </w:pPr>
      <w:r w:rsidRPr="00EB04F1">
        <w:rPr>
          <w:b/>
          <w:bCs/>
          <w:u w:val="single"/>
        </w:rPr>
        <w:t xml:space="preserve">References: </w:t>
      </w:r>
    </w:p>
    <w:p w14:paraId="6417EFE5" w14:textId="695F4F98" w:rsidR="00EB04F1" w:rsidRPr="00EB04F1" w:rsidRDefault="00EB04F1" w:rsidP="00EB04F1">
      <w:pPr>
        <w:pStyle w:val="Bibliography"/>
      </w:pPr>
      <w:r>
        <w:t xml:space="preserve">1.   </w:t>
      </w:r>
      <w:r w:rsidRPr="00EB04F1">
        <w:t xml:space="preserve">Scally B, Emberson JR, Spata E, et al. Effects of gastroprotectant drugs for the prevention and treatment of peptic ulcer disease and its complications: a meta-analysis of randomised trials. </w:t>
      </w:r>
      <w:r w:rsidRPr="00EB04F1">
        <w:rPr>
          <w:i/>
          <w:iCs/>
        </w:rPr>
        <w:t>Lancet Gastroenterol Hepatol</w:t>
      </w:r>
      <w:r w:rsidRPr="00EB04F1">
        <w:t>. 2018;3(4):231-241. doi:10.1016/S2468-1253(18)30037-2</w:t>
      </w:r>
    </w:p>
    <w:p w14:paraId="055B151D" w14:textId="77777777" w:rsidR="00EB04F1" w:rsidRPr="00EB04F1" w:rsidRDefault="00EB04F1" w:rsidP="00EB04F1">
      <w:pPr>
        <w:pStyle w:val="Bibliography"/>
      </w:pPr>
      <w:r w:rsidRPr="00EB04F1">
        <w:t xml:space="preserve">2. </w:t>
      </w:r>
      <w:r w:rsidRPr="00EB04F1">
        <w:tab/>
        <w:t xml:space="preserve">Bhatt DL, Scheiman J, Abraham NS, et al. ACCF/ACG/AHA 2008 expert consensus document on reducing the gastrointestinal risks of antiplatelet therapy and NSAID use: a report of the American College of Cardiology Foundation Task Force on Clinical Expert Consensus Documents. </w:t>
      </w:r>
      <w:r w:rsidRPr="00EB04F1">
        <w:rPr>
          <w:i/>
          <w:iCs/>
        </w:rPr>
        <w:t>J Am Coll Cardiol</w:t>
      </w:r>
      <w:r w:rsidRPr="00EB04F1">
        <w:t>. 2008;52(18):1502-1517. doi:10.1016/j.jacc.2008.08.002</w:t>
      </w:r>
    </w:p>
    <w:p w14:paraId="0206DE68" w14:textId="77777777" w:rsidR="00EB04F1" w:rsidRDefault="00EB04F1" w:rsidP="00EB04F1">
      <w:r>
        <w:br w:type="page"/>
      </w:r>
    </w:p>
    <w:p w14:paraId="5C8EF4CD" w14:textId="5E015612" w:rsidR="00EB04F1" w:rsidRPr="009478F5" w:rsidRDefault="00EB04F1" w:rsidP="00EB04F1">
      <w:pPr>
        <w:pStyle w:val="Heading2"/>
        <w:rPr>
          <w:sz w:val="28"/>
          <w:szCs w:val="28"/>
        </w:rPr>
      </w:pPr>
      <w:bookmarkStart w:id="2" w:name="_Toc85470717"/>
      <w:r w:rsidRPr="0075506F">
        <w:rPr>
          <w:sz w:val="28"/>
          <w:szCs w:val="28"/>
        </w:rPr>
        <w:lastRenderedPageBreak/>
        <w:t xml:space="preserve">Letter for Clinician Notification + </w:t>
      </w:r>
      <w:r>
        <w:rPr>
          <w:sz w:val="28"/>
          <w:szCs w:val="28"/>
        </w:rPr>
        <w:t>Nurse Facilitation</w:t>
      </w:r>
      <w:r w:rsidRPr="0075506F">
        <w:rPr>
          <w:sz w:val="28"/>
          <w:szCs w:val="28"/>
        </w:rPr>
        <w:t xml:space="preserve"> Quality Improvement Strategy</w:t>
      </w:r>
      <w:bookmarkEnd w:id="2"/>
      <w:r w:rsidRPr="009478F5">
        <w:rPr>
          <w:sz w:val="28"/>
          <w:szCs w:val="28"/>
        </w:rPr>
        <w:t xml:space="preserve"> </w:t>
      </w:r>
    </w:p>
    <w:p w14:paraId="73523F14" w14:textId="77777777" w:rsidR="00EB04F1" w:rsidRDefault="00EB04F1" w:rsidP="00EB04F1">
      <w:r>
        <w:t>[Date]</w:t>
      </w:r>
    </w:p>
    <w:p w14:paraId="354AD49B" w14:textId="77777777" w:rsidR="00EB04F1" w:rsidRDefault="00EB04F1" w:rsidP="00EB04F1"/>
    <w:p w14:paraId="12CB1F58" w14:textId="77777777" w:rsidR="00EB04F1" w:rsidRDefault="00EB04F1" w:rsidP="00EB04F1">
      <w:r>
        <w:t xml:space="preserve">Dear [clinician name], </w:t>
      </w:r>
    </w:p>
    <w:p w14:paraId="157E2F10" w14:textId="77777777" w:rsidR="00EB04F1" w:rsidRDefault="00EB04F1" w:rsidP="00EB04F1"/>
    <w:p w14:paraId="24E04637" w14:textId="77777777" w:rsidR="00EB04F1" w:rsidRDefault="00EB04F1" w:rsidP="00EB04F1">
      <w:r>
        <w:t xml:space="preserve">As part of an anticoagulation clinic safety initiative, I am contacting you about your patient [patient name] (MRN: [MRN]).  This patient is at high risk for upper gastrointestinal bleeding due to combination warfarin and antiplatelet therapy without proton pump inhibitor (PPI) gastroprotection. </w:t>
      </w:r>
    </w:p>
    <w:p w14:paraId="4AF277CF" w14:textId="77777777" w:rsidR="00EB04F1" w:rsidRDefault="00EB04F1" w:rsidP="00EB04F1"/>
    <w:p w14:paraId="52EB1325" w14:textId="77777777" w:rsidR="00EB04F1" w:rsidRDefault="00EB04F1" w:rsidP="00EB04F1">
      <w:r>
        <w:t xml:space="preserve">Antiplatelet Medications: </w:t>
      </w:r>
    </w:p>
    <w:p w14:paraId="1F4A4F34" w14:textId="77777777" w:rsidR="00EB04F1" w:rsidRDefault="00EB04F1" w:rsidP="00EB04F1">
      <w:r>
        <w:t>[List antiplatelet drugs in patient’s current medication list]</w:t>
      </w:r>
    </w:p>
    <w:p w14:paraId="00CD52CA" w14:textId="77777777" w:rsidR="00EB04F1" w:rsidRDefault="00EB04F1" w:rsidP="00EB04F1"/>
    <w:p w14:paraId="5FEDBB24" w14:textId="7A2B08CB" w:rsidR="00EB04F1" w:rsidRDefault="00EB04F1" w:rsidP="00EB04F1">
      <w:r>
        <w:t xml:space="preserve">The risk for upper GI bleeding with combination warfarin and antiplatelet therapy is as high as 2.8% per year </w:t>
      </w:r>
      <w:r>
        <w:fldChar w:fldCharType="begin"/>
      </w:r>
      <w:r>
        <w:instrText xml:space="preserve"> ADDIN ZOTERO_ITEM CSL_CITATION {"citationID":"iBbDwLJJ","properties":{"formattedCitation":"\\super 1\\nosupersub{}","plainCitation":"1","noteIndex":0},"citationItems":[{"id":49785,"uris":["http://zotero.org/users/6109333/items/WLECQ86C"],"uri":["http://zotero.org/users/6109333/items/WLECQ86C"],"itemData":{"id":49785,"type":"article-journal","abstract":"BACKGROUND: Gastroprotectant drugs are used for the prevention and treatment of peptic ulcer disease and might reduce its associated complications, but reliable estimates of the effects of gastroprotectants in different clinical settings are scarce. We aimed to examine the effects of proton-pump inhibitors (PPIs), prostaglandin analogues, and histamine-2 receptor antagonists (H2RAs) in different clinical circumstances by doing meta-analyses of tabular data from all relevant unconfounded randomised trials of gastroprotectant drugs.\nMETHODS: We searched MEDLINE and Embase from Jan 1, 1950, to Dec 31, 2015, to identify unconfounded, randomised trials of a gastroprotectant drug (defined as a PPI, prostaglandin analogue, or H2RA) versus control, or versus another gastroprotectant. Two independent researchers reviewed the search results and extracted the prespecified outcomes and key characteristics for each trial. We did meta-analyses of the effects of gastroprotectant drugs on ulcer development, bleeding, and mortality overall, according to the class of gastroprotectant, and according to the individual drug within a gastroprotectant class.\nFINDINGS: We identified comparisons of gastroprotectant versus control in 849 trials (142 485 participants): 580 prevention trials (110 626 participants), 233 healing trials (24 033 participants), and 36 trials for the treatment of acute upper gastrointestinal bleeding (7826 participants). Comparisons of one gastroprotectant drug versus another were available in 345 trials (64 905 participants), comprising 160 prevention trials (32 959 participants), 167 healing trials (28 306 participants), and 18 trials for treatment of acute upper gastrointestinal bleeding (3640 participants). The median number of patients in each trial was 78 (IQR 44·0-210·5) and the median duration was 1·4 months (0·9-2·8). In prevention trials, gastroprotectant drugs reduced development of endoscopic ulcers (odds ratio [OR] 0·27, 95% CI 0·25-0·29; p&lt;0·0001), symptomatic ulcers (0·25, 0·22-0·29; p&lt;0·0001), and upper gastrointestinal bleeding (0·40, 0·32-0·50; p&lt;0·0001), but did not significantly reduce mortality (0·85, 0·69-1·04; p=0·11). Larger proportional reductions in upper gastrointestinal bleeding were observed for PPIs than for other gastroprotectant drugs (PPIs 0·21, 99% CI 0·12-0·36; prostaglandin analogues 0·63, 0·35-1·12; H2RAs 0·49, 0·30-0·80; phet=0·0005). Gastroprotectant drugs were effective in preventing bleeding irrespective of the use of non-steroidal anti-inflammatory drugs (phet=0·56). In healing trials, gastroprotectants increased endoscopic ulcer healing (3·49, 95% CI 3·28-3·72; p&lt;0·0001), with PPIs more effective (5·22, 99% CI 4·00-6·80) than prostaglandin analogues (2·27, 1·91-2·70) and H2RAs (3·80, 3·44-4·20; phet&lt;0·0001). In trials among patients with acute bleeding, gastroprotectants reduced further bleeding (OR 0·68, 95% CI 0·60-0·78; p&lt;0·0001), blood transfusion (0·75, 0·65-0·88; p=0·0003), further endoscopic intervention (0·56, 0·45-0·70; p&lt;0·0001), and surgery (0·72, 0·61-0·84; p&lt;0·0001), but did not significantly reduce mortality (OR 0·90, 0·72-1·11; p=0·31). PPIs had larger protective effects than did H2RAs for further bleeding (phet=0·0107) and blood transfusion (phet=0·0130).\nINTERPRETATION: Gastroprotectants, in particular PPIs, reduce the risk of peptic ulcer disease and its complications and promote healing of peptic ulcers in a wide range of clinical circumstances. However, this meta-analysis might have overestimated the benefits owing to small study bias.\nFUNDING: UK Medical Research Council and the British Heart Foundation.","container-title":"The Lancet. Gastroenterology &amp; Hepatology","DOI":"10.1016/S2468-1253(18)30037-2","ISSN":"2468-1253","issue":"4","journalAbbreviation":"Lancet Gastroenterol Hepatol","language":"eng","note":"PMID: 29475806\nPMCID: PMC5842491","page":"231-241","source":"PubMed","title":"Effects of gastroprotectant drugs for the prevention and treatment of peptic ulcer disease and its complications: a meta-analysis of randomised trials","title-short":"Effects of gastroprotectant drugs for the prevention and treatment of peptic ulcer disease and its complications","volume":"3","author":[{"family":"Scally","given":"Benjamin"},{"family":"Emberson","given":"Jonathan R."},{"family":"Spata","given":"Enti"},{"family":"Reith","given":"Christina"},{"family":"Davies","given":"Kelly"},{"family":"Halls","given":"Heather"},{"family":"Holland","given":"Lisa"},{"family":"Wilson","given":"Kate"},{"family":"Bhala","given":"Neeraj"},{"family":"Hawkey","given":"Christopher"},{"family":"Hochberg","given":"Marc"},{"family":"Hunt","given":"Richard"},{"family":"Laine","given":"Loren"},{"family":"Lanas","given":"Angel"},{"family":"Patrono","given":"Carlo"},{"family":"Baigent","given":"Colin"}],"issued":{"date-parts":[["2018",4]]}}}],"schema":"https://github.com/citation-style-language/schema/raw/master/csl-citation.json"} </w:instrText>
      </w:r>
      <w:r>
        <w:fldChar w:fldCharType="separate"/>
      </w:r>
      <w:r w:rsidRPr="00EB04F1">
        <w:rPr>
          <w:szCs w:val="24"/>
          <w:vertAlign w:val="superscript"/>
        </w:rPr>
        <w:t>1</w:t>
      </w:r>
      <w:r>
        <w:fldChar w:fldCharType="end"/>
      </w:r>
      <w:r>
        <w:t xml:space="preserve">. For patients who require ongoing combination warfarin and antiplatelet therapy, professional guidance recommends the use of a proton pump inhibitor </w:t>
      </w:r>
      <w:r>
        <w:fldChar w:fldCharType="begin"/>
      </w:r>
      <w:r>
        <w:instrText xml:space="preserve"> ADDIN ZOTERO_ITEM CSL_CITATION {"citationID":"h6AHGpAl","properties":{"formattedCitation":"\\super 2\\nosupersub{}","plainCitation":"2","noteIndex":0},"citationItems":[{"id":49781,"uris":["http://zotero.org/users/6109333/items/FAC9FQ66"],"uri":["http://zotero.org/users/6109333/items/FAC9FQ66"],"itemData":{"id":49781,"type":"article-journal","container-title":"Journal of the American College of Cardiology","DOI":"10.1016/j.jacc.2008.08.002","ISSN":"1558-3597","issue":"18","journalAbbreviation":"J Am Coll Cardiol","language":"eng","note":"PMID: 19017521","page":"1502-1517","source":"PubMed","title":"ACCF/ACG/AHA 2008 expert consensus document on reducing the gastrointestinal risks of antiplatelet therapy and NSAID use: a report of the American College of Cardiology Foundation Task Force on Clinical Expert Consensus Documents","title-short":"ACCF/ACG/AHA 2008 expert consensus document on reducing the gastrointestinal risks of antiplatelet therapy and NSAID use","volume":"52","author":[{"family":"Bhatt","given":"Deepak L."},{"family":"Scheiman","given":"James"},{"family":"Abraham","given":"Neena S."},{"family":"Antman","given":"Elliott M."},{"family":"Chan","given":"Francis K. L."},{"family":"Furberg","given":"Curt D."},{"family":"Johnson","given":"David A."},{"family":"Mahaffey","given":"Kenneth W."},{"family":"Quigley","given":"Eamonn M."},{"family":"Harrington","given":"Robert A."},{"family":"Bates","given":"Eric R."},{"family":"Bridges","given":"Charles R."},{"family":"Eisenberg","given":"Mark J."},{"family":"Ferrari","given":"Victor A."},{"family":"Hlatky","given":"Mark A."},{"family":"Kaul","given":"Sanjay"},{"family":"Lindner","given":"Jonathan R."},{"family":"Moliterno","given":"David J."},{"family":"Mukherjee","given":"Debabrata"},{"family":"Schofield","given":"Richard S."},{"family":"Rosenson","given":"Robert S."},{"family":"Stein","given":"James H."},{"family":"Weitz","given":"Howard H."},{"family":"Wesley","given":"Deborah J."},{"literal":"American College of Cardiology Foundation Task Force on Clinical Expert Consensus Documents"}],"issued":{"date-parts":[["2008",10,28]]}}}],"schema":"https://github.com/citation-style-language/schema/raw/master/csl-citation.json"} </w:instrText>
      </w:r>
      <w:r>
        <w:fldChar w:fldCharType="separate"/>
      </w:r>
      <w:r w:rsidRPr="00EB04F1">
        <w:rPr>
          <w:szCs w:val="24"/>
          <w:vertAlign w:val="superscript"/>
        </w:rPr>
        <w:t>2</w:t>
      </w:r>
      <w:r>
        <w:fldChar w:fldCharType="end"/>
      </w:r>
      <w:r>
        <w:t>.</w:t>
      </w:r>
    </w:p>
    <w:p w14:paraId="3E3130EA" w14:textId="77777777" w:rsidR="00EB04F1" w:rsidRDefault="00EB04F1" w:rsidP="00EB04F1">
      <w:pPr>
        <w:autoSpaceDE w:val="0"/>
        <w:autoSpaceDN w:val="0"/>
        <w:adjustRightInd w:val="0"/>
        <w:spacing w:line="240" w:lineRule="auto"/>
        <w:rPr>
          <w:szCs w:val="24"/>
        </w:rPr>
      </w:pPr>
    </w:p>
    <w:p w14:paraId="002E6857" w14:textId="77777777" w:rsidR="00EB04F1" w:rsidRDefault="00EB04F1" w:rsidP="00EB04F1">
      <w:pPr>
        <w:autoSpaceDE w:val="0"/>
        <w:autoSpaceDN w:val="0"/>
        <w:adjustRightInd w:val="0"/>
        <w:spacing w:line="240" w:lineRule="auto"/>
        <w:rPr>
          <w:szCs w:val="24"/>
        </w:rPr>
      </w:pPr>
      <w:r>
        <w:rPr>
          <w:rFonts w:eastAsia="Times New Roman"/>
          <w:color w:val="000000"/>
          <w:szCs w:val="24"/>
          <w:u w:val="single"/>
        </w:rPr>
        <w:t>Please consider</w:t>
      </w:r>
      <w:r>
        <w:rPr>
          <w:rFonts w:eastAsia="Times New Roman"/>
          <w:color w:val="FF0000"/>
          <w:szCs w:val="24"/>
          <w:u w:val="single"/>
        </w:rPr>
        <w:t xml:space="preserve"> </w:t>
      </w:r>
      <w:r>
        <w:rPr>
          <w:rFonts w:eastAsia="Times New Roman"/>
          <w:b/>
          <w:color w:val="FF0000"/>
          <w:szCs w:val="24"/>
          <w:u w:val="single"/>
        </w:rPr>
        <w:t>one</w:t>
      </w:r>
      <w:r>
        <w:rPr>
          <w:rFonts w:eastAsia="Times New Roman"/>
          <w:color w:val="000000"/>
          <w:szCs w:val="24"/>
          <w:u w:val="single"/>
        </w:rPr>
        <w:t xml:space="preserve"> of the following medication changes:</w:t>
      </w:r>
    </w:p>
    <w:p w14:paraId="0F65713A" w14:textId="77777777" w:rsidR="00EB04F1" w:rsidRPr="0075506F" w:rsidRDefault="00EB04F1" w:rsidP="00EB04F1">
      <w:pPr>
        <w:pStyle w:val="ListParagraph"/>
        <w:numPr>
          <w:ilvl w:val="0"/>
          <w:numId w:val="3"/>
        </w:numPr>
        <w:autoSpaceDE w:val="0"/>
        <w:autoSpaceDN w:val="0"/>
        <w:adjustRightInd w:val="0"/>
        <w:spacing w:line="240" w:lineRule="auto"/>
        <w:rPr>
          <w:szCs w:val="24"/>
        </w:rPr>
      </w:pPr>
      <w:r w:rsidRPr="0075506F">
        <w:rPr>
          <w:rFonts w:eastAsia="Times New Roman"/>
          <w:b/>
          <w:szCs w:val="24"/>
        </w:rPr>
        <w:t>Discontinue antiplatelet therapy if appropriate.</w:t>
      </w:r>
    </w:p>
    <w:p w14:paraId="41B58A93" w14:textId="77777777" w:rsidR="00EB04F1" w:rsidRDefault="00EB04F1" w:rsidP="00EB04F1">
      <w:pPr>
        <w:autoSpaceDE w:val="0"/>
        <w:autoSpaceDN w:val="0"/>
        <w:adjustRightInd w:val="0"/>
        <w:spacing w:line="240" w:lineRule="auto"/>
        <w:rPr>
          <w:szCs w:val="24"/>
        </w:rPr>
      </w:pPr>
    </w:p>
    <w:p w14:paraId="6C91FCB4" w14:textId="77777777" w:rsidR="00EB04F1" w:rsidRDefault="00EB04F1" w:rsidP="00EB04F1">
      <w:pPr>
        <w:autoSpaceDE w:val="0"/>
        <w:autoSpaceDN w:val="0"/>
        <w:adjustRightInd w:val="0"/>
        <w:spacing w:line="240" w:lineRule="auto"/>
        <w:ind w:left="360"/>
        <w:rPr>
          <w:szCs w:val="24"/>
        </w:rPr>
      </w:pPr>
      <w:r>
        <w:rPr>
          <w:szCs w:val="24"/>
        </w:rPr>
        <w:t>OR</w:t>
      </w:r>
    </w:p>
    <w:p w14:paraId="37986680" w14:textId="77777777" w:rsidR="00EB04F1" w:rsidRDefault="00EB04F1" w:rsidP="00EB04F1">
      <w:pPr>
        <w:autoSpaceDE w:val="0"/>
        <w:autoSpaceDN w:val="0"/>
        <w:adjustRightInd w:val="0"/>
        <w:spacing w:line="240" w:lineRule="auto"/>
        <w:rPr>
          <w:szCs w:val="24"/>
        </w:rPr>
      </w:pPr>
    </w:p>
    <w:p w14:paraId="6CA0FF8F" w14:textId="77777777" w:rsidR="00EB04F1" w:rsidRDefault="00EB04F1" w:rsidP="00EB04F1">
      <w:pPr>
        <w:pStyle w:val="ListParagraph"/>
        <w:numPr>
          <w:ilvl w:val="0"/>
          <w:numId w:val="3"/>
        </w:numPr>
        <w:autoSpaceDE w:val="0"/>
        <w:autoSpaceDN w:val="0"/>
        <w:adjustRightInd w:val="0"/>
        <w:spacing w:line="240" w:lineRule="auto"/>
        <w:rPr>
          <w:szCs w:val="24"/>
        </w:rPr>
      </w:pPr>
      <w:r w:rsidRPr="00947015">
        <w:rPr>
          <w:rFonts w:eastAsia="Times New Roman"/>
          <w:b/>
          <w:szCs w:val="24"/>
        </w:rPr>
        <w:t>If you determine antiplatelet therapy should continue, prescribe a daily proton pump inhibitor (e.g, omeprazole 20mg daily) for the duration of combination antithrombotic treatment.</w:t>
      </w:r>
      <w:r w:rsidRPr="00947015">
        <w:rPr>
          <w:szCs w:val="24"/>
        </w:rPr>
        <w:t xml:space="preserve"> </w:t>
      </w:r>
    </w:p>
    <w:p w14:paraId="77790097" w14:textId="77777777" w:rsidR="00EB04F1" w:rsidRDefault="00EB04F1" w:rsidP="00EB04F1">
      <w:pPr>
        <w:autoSpaceDE w:val="0"/>
        <w:autoSpaceDN w:val="0"/>
        <w:adjustRightInd w:val="0"/>
        <w:spacing w:line="240" w:lineRule="auto"/>
        <w:rPr>
          <w:szCs w:val="24"/>
        </w:rPr>
      </w:pPr>
    </w:p>
    <w:p w14:paraId="78189391" w14:textId="3FD4B54E" w:rsidR="00EB04F1" w:rsidRDefault="00EB04F1" w:rsidP="00EB04F1">
      <w:r>
        <w:rPr>
          <w:szCs w:val="24"/>
        </w:rPr>
        <w:t xml:space="preserve">We are providing the following information to help with your decision making. Based on our chart review, the patient uses [antiplatelet drug] for </w:t>
      </w:r>
      <w:r>
        <w:t xml:space="preserve">[indication for antiplatelet therapy: (1) primary prevention of CAD, (2) treatment of CAD with atrial fibrillation, (3) treatment of CAD with venous thromboembolism, (4) cerebrovascular disease, (5) peripheral artery disease, (6) valve replacement, (7) venous intervention (including IVC and iliofemoral venoplasty/stenting)]. </w:t>
      </w:r>
    </w:p>
    <w:p w14:paraId="61E22579" w14:textId="77777777" w:rsidR="00EB04F1" w:rsidRDefault="00EB04F1" w:rsidP="00EB04F1">
      <w:pPr>
        <w:autoSpaceDE w:val="0"/>
        <w:autoSpaceDN w:val="0"/>
        <w:adjustRightInd w:val="0"/>
        <w:spacing w:line="240" w:lineRule="auto"/>
        <w:rPr>
          <w:rFonts w:eastAsia="Times New Roman"/>
          <w:color w:val="000000"/>
          <w:szCs w:val="24"/>
        </w:rPr>
      </w:pPr>
    </w:p>
    <w:p w14:paraId="3BC48047" w14:textId="16C54859" w:rsidR="00EB04F1" w:rsidRDefault="00EB04F1" w:rsidP="00EB04F1">
      <w:pPr>
        <w:autoSpaceDE w:val="0"/>
        <w:autoSpaceDN w:val="0"/>
        <w:adjustRightInd w:val="0"/>
        <w:spacing w:line="240" w:lineRule="auto"/>
        <w:ind w:left="720"/>
        <w:rPr>
          <w:szCs w:val="24"/>
        </w:rPr>
      </w:pPr>
      <w:r>
        <w:rPr>
          <w:rFonts w:eastAsia="Times New Roman"/>
          <w:color w:val="000000"/>
          <w:szCs w:val="24"/>
        </w:rPr>
        <w:t xml:space="preserve">[Insert only applicable section of guidance summary table from supplement </w:t>
      </w:r>
      <w:r w:rsidR="00F627FD">
        <w:rPr>
          <w:rFonts w:eastAsia="Times New Roman"/>
          <w:color w:val="000000"/>
          <w:szCs w:val="24"/>
        </w:rPr>
        <w:t>6</w:t>
      </w:r>
      <w:r>
        <w:rPr>
          <w:rFonts w:eastAsia="Times New Roman"/>
          <w:color w:val="000000"/>
          <w:szCs w:val="24"/>
        </w:rPr>
        <w:t xml:space="preserve"> that corresponds with the patient’s identified indication for antiplatelet therapy] </w:t>
      </w:r>
    </w:p>
    <w:p w14:paraId="7C79FE27" w14:textId="77777777" w:rsidR="00EB04F1" w:rsidRPr="0075506F" w:rsidRDefault="00EB04F1" w:rsidP="00EB04F1">
      <w:pPr>
        <w:autoSpaceDE w:val="0"/>
        <w:autoSpaceDN w:val="0"/>
        <w:adjustRightInd w:val="0"/>
        <w:spacing w:line="240" w:lineRule="auto"/>
        <w:rPr>
          <w:szCs w:val="24"/>
        </w:rPr>
      </w:pPr>
    </w:p>
    <w:p w14:paraId="6F18209E" w14:textId="06CBBC39" w:rsidR="00EB04F1" w:rsidRPr="0075506F" w:rsidRDefault="00EB04F1" w:rsidP="00EB04F1">
      <w:pPr>
        <w:autoSpaceDE w:val="0"/>
        <w:autoSpaceDN w:val="0"/>
        <w:adjustRightInd w:val="0"/>
        <w:spacing w:line="240" w:lineRule="auto"/>
        <w:rPr>
          <w:szCs w:val="24"/>
        </w:rPr>
      </w:pPr>
      <w:r>
        <w:rPr>
          <w:szCs w:val="24"/>
        </w:rPr>
        <w:t xml:space="preserve">To help with this decision, you may wish to visit this site: Guidance on appropriate use of CAT. [links to full guideline summary available in supplement </w:t>
      </w:r>
      <w:r w:rsidR="007A6E2F">
        <w:rPr>
          <w:szCs w:val="24"/>
        </w:rPr>
        <w:t>6</w:t>
      </w:r>
      <w:r>
        <w:rPr>
          <w:szCs w:val="24"/>
        </w:rPr>
        <w:t xml:space="preserve">] </w:t>
      </w:r>
    </w:p>
    <w:p w14:paraId="0BA83062" w14:textId="77777777" w:rsidR="00EB04F1" w:rsidRDefault="00EB04F1" w:rsidP="00EB04F1">
      <w:pPr>
        <w:autoSpaceDE w:val="0"/>
        <w:autoSpaceDN w:val="0"/>
        <w:adjustRightInd w:val="0"/>
        <w:spacing w:line="240" w:lineRule="auto"/>
        <w:rPr>
          <w:szCs w:val="24"/>
        </w:rPr>
      </w:pPr>
    </w:p>
    <w:p w14:paraId="4E54D121" w14:textId="77777777" w:rsidR="00EB04F1" w:rsidRDefault="00EB04F1" w:rsidP="00EB04F1">
      <w:pPr>
        <w:autoSpaceDE w:val="0"/>
        <w:autoSpaceDN w:val="0"/>
        <w:adjustRightInd w:val="0"/>
        <w:spacing w:line="240" w:lineRule="auto"/>
        <w:rPr>
          <w:szCs w:val="24"/>
        </w:rPr>
      </w:pPr>
      <w:r>
        <w:rPr>
          <w:szCs w:val="24"/>
        </w:rPr>
        <w:t xml:space="preserve">If you could please respond to this message and indicate your plan of care, I can communicate the recommendation, along with appropriate education, to the patient, and pend any medication orders for your approval in MiChart. Please cut and paste one of these options in your response to this letter. </w:t>
      </w:r>
    </w:p>
    <w:p w14:paraId="26E7BB4D" w14:textId="77777777" w:rsidR="00EB04F1" w:rsidRDefault="00EB04F1" w:rsidP="00EB04F1">
      <w:pPr>
        <w:autoSpaceDE w:val="0"/>
        <w:autoSpaceDN w:val="0"/>
        <w:adjustRightInd w:val="0"/>
        <w:spacing w:line="240" w:lineRule="auto"/>
        <w:rPr>
          <w:szCs w:val="24"/>
        </w:rPr>
      </w:pPr>
    </w:p>
    <w:p w14:paraId="23094A6C" w14:textId="77777777" w:rsidR="00EB04F1" w:rsidRPr="0075506F" w:rsidRDefault="00EB04F1" w:rsidP="00EB04F1">
      <w:pPr>
        <w:pStyle w:val="ListParagraph"/>
        <w:numPr>
          <w:ilvl w:val="0"/>
          <w:numId w:val="4"/>
        </w:numPr>
        <w:tabs>
          <w:tab w:val="left" w:pos="9450"/>
        </w:tabs>
        <w:autoSpaceDE w:val="0"/>
        <w:autoSpaceDN w:val="0"/>
        <w:adjustRightInd w:val="0"/>
        <w:spacing w:line="240" w:lineRule="auto"/>
        <w:rPr>
          <w:szCs w:val="24"/>
        </w:rPr>
      </w:pPr>
      <w:r w:rsidRPr="0075506F">
        <w:rPr>
          <w:szCs w:val="24"/>
        </w:rPr>
        <w:t>Please communicate to the patient that I would like them to discontinue antiplatelet therapy</w:t>
      </w:r>
    </w:p>
    <w:p w14:paraId="3678D5B8" w14:textId="77777777" w:rsidR="00EB04F1" w:rsidRPr="0075506F" w:rsidRDefault="00EB04F1" w:rsidP="00EB04F1">
      <w:pPr>
        <w:pStyle w:val="ListParagraph"/>
        <w:numPr>
          <w:ilvl w:val="0"/>
          <w:numId w:val="4"/>
        </w:numPr>
        <w:autoSpaceDE w:val="0"/>
        <w:autoSpaceDN w:val="0"/>
        <w:adjustRightInd w:val="0"/>
        <w:spacing w:line="240" w:lineRule="auto"/>
        <w:rPr>
          <w:szCs w:val="24"/>
        </w:rPr>
      </w:pPr>
      <w:r w:rsidRPr="0075506F">
        <w:rPr>
          <w:szCs w:val="24"/>
        </w:rPr>
        <w:lastRenderedPageBreak/>
        <w:t>Please communicate to the patient that I would like them to initiate omeprazole 20 mg daily, 90-day supply with 3 refills</w:t>
      </w:r>
    </w:p>
    <w:p w14:paraId="54ABCE6E" w14:textId="77777777" w:rsidR="00EB04F1" w:rsidRPr="0075506F" w:rsidRDefault="00EB04F1" w:rsidP="00EB04F1">
      <w:pPr>
        <w:pStyle w:val="ListParagraph"/>
        <w:numPr>
          <w:ilvl w:val="0"/>
          <w:numId w:val="4"/>
        </w:numPr>
        <w:autoSpaceDE w:val="0"/>
        <w:autoSpaceDN w:val="0"/>
        <w:adjustRightInd w:val="0"/>
        <w:spacing w:line="240" w:lineRule="auto"/>
        <w:rPr>
          <w:szCs w:val="24"/>
        </w:rPr>
      </w:pPr>
      <w:r w:rsidRPr="0075506F">
        <w:rPr>
          <w:szCs w:val="24"/>
        </w:rPr>
        <w:t>Please communicate to the patient that I would like them to initiate pantoprazole 40 mg daily, 90-day supply with 3 refills</w:t>
      </w:r>
    </w:p>
    <w:p w14:paraId="5E1B42F4" w14:textId="77777777" w:rsidR="00EB04F1" w:rsidRDefault="00EB04F1" w:rsidP="00EB04F1"/>
    <w:p w14:paraId="56E4612F" w14:textId="77777777" w:rsidR="00EB04F1" w:rsidRDefault="00EB04F1" w:rsidP="00EB04F1">
      <w:r>
        <w:t xml:space="preserve">Thank you for your time and effort in this important initiative. </w:t>
      </w:r>
    </w:p>
    <w:p w14:paraId="12711A0D" w14:textId="77777777" w:rsidR="00EB04F1" w:rsidRDefault="00EB04F1" w:rsidP="00EB04F1"/>
    <w:p w14:paraId="18010D43" w14:textId="77777777" w:rsidR="00EB04F1" w:rsidRDefault="00EB04F1" w:rsidP="00EB04F1">
      <w:r>
        <w:t xml:space="preserve">Sincerely, </w:t>
      </w:r>
    </w:p>
    <w:p w14:paraId="7B668114" w14:textId="77777777" w:rsidR="00EB04F1" w:rsidRDefault="00EB04F1" w:rsidP="00EB04F1">
      <w:r>
        <w:t>[RN name]</w:t>
      </w:r>
    </w:p>
    <w:p w14:paraId="2672CFE2" w14:textId="77777777" w:rsidR="00EB04F1" w:rsidRPr="0075506F" w:rsidRDefault="00EB04F1" w:rsidP="00EB04F1">
      <w:pPr>
        <w:rPr>
          <w:b/>
          <w:bCs/>
        </w:rPr>
      </w:pPr>
      <w:r w:rsidRPr="0075506F">
        <w:rPr>
          <w:b/>
          <w:bCs/>
        </w:rPr>
        <w:t>(Please route back to sender)</w:t>
      </w:r>
    </w:p>
    <w:p w14:paraId="1D9DCF12" w14:textId="77777777" w:rsidR="00EB04F1" w:rsidRDefault="00EB04F1" w:rsidP="00EB04F1"/>
    <w:p w14:paraId="4A1DA155" w14:textId="77777777" w:rsidR="00EB04F1" w:rsidRPr="00EB04F1" w:rsidRDefault="00EB04F1" w:rsidP="00EB04F1">
      <w:pPr>
        <w:rPr>
          <w:b/>
          <w:bCs/>
          <w:u w:val="single"/>
        </w:rPr>
      </w:pPr>
      <w:r w:rsidRPr="00EB04F1">
        <w:rPr>
          <w:b/>
          <w:bCs/>
          <w:u w:val="single"/>
        </w:rPr>
        <w:t>References</w:t>
      </w:r>
    </w:p>
    <w:p w14:paraId="566CCF56" w14:textId="77777777" w:rsidR="00EB04F1" w:rsidRPr="00EB04F1" w:rsidRDefault="00EB04F1" w:rsidP="00EB04F1">
      <w:pPr>
        <w:pStyle w:val="Bibliography"/>
      </w:pPr>
      <w:r>
        <w:fldChar w:fldCharType="begin"/>
      </w:r>
      <w:r>
        <w:instrText xml:space="preserve"> ADDIN ZOTERO_BIBL {"uncited":[],"omitted":[],"custom":[]} CSL_BIBLIOGRAPHY </w:instrText>
      </w:r>
      <w:r>
        <w:fldChar w:fldCharType="separate"/>
      </w:r>
      <w:r w:rsidRPr="00EB04F1">
        <w:t xml:space="preserve">1. </w:t>
      </w:r>
      <w:r w:rsidRPr="00EB04F1">
        <w:tab/>
        <w:t xml:space="preserve">Scally B, Emberson JR, Spata E, et al. Effects of gastroprotectant drugs for the prevention and treatment of peptic ulcer disease and its complications: a meta-analysis of randomised trials. </w:t>
      </w:r>
      <w:r w:rsidRPr="00EB04F1">
        <w:rPr>
          <w:i/>
          <w:iCs/>
        </w:rPr>
        <w:t>Lancet Gastroenterol Hepatol</w:t>
      </w:r>
      <w:r w:rsidRPr="00EB04F1">
        <w:t>. 2018;3(4):231-241. doi:10.1016/S2468-1253(18)30037-2</w:t>
      </w:r>
    </w:p>
    <w:p w14:paraId="275AF554" w14:textId="77777777" w:rsidR="00EB04F1" w:rsidRPr="00EB04F1" w:rsidRDefault="00EB04F1" w:rsidP="00EB04F1">
      <w:pPr>
        <w:pStyle w:val="Bibliography"/>
      </w:pPr>
      <w:r w:rsidRPr="00EB04F1">
        <w:t xml:space="preserve">2. </w:t>
      </w:r>
      <w:r w:rsidRPr="00EB04F1">
        <w:tab/>
        <w:t xml:space="preserve">Bhatt DL, Scheiman J, Abraham NS, et al. ACCF/ACG/AHA 2008 expert consensus document on reducing the gastrointestinal risks of antiplatelet therapy and NSAID use: a report of the American College of Cardiology Foundation Task Force on Clinical Expert Consensus Documents. </w:t>
      </w:r>
      <w:r w:rsidRPr="00EB04F1">
        <w:rPr>
          <w:i/>
          <w:iCs/>
        </w:rPr>
        <w:t>J Am Coll Cardiol</w:t>
      </w:r>
      <w:r w:rsidRPr="00EB04F1">
        <w:t>. 2008;52(18):1502-1517. doi:10.1016/j.jacc.2008.08.002</w:t>
      </w:r>
    </w:p>
    <w:p w14:paraId="45F53E7B" w14:textId="33C34088" w:rsidR="009F5D4D" w:rsidRDefault="00EB04F1">
      <w:r>
        <w:fldChar w:fldCharType="end"/>
      </w:r>
    </w:p>
    <w:sectPr w:rsidR="009F5D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C086D"/>
    <w:multiLevelType w:val="hybridMultilevel"/>
    <w:tmpl w:val="3DC404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8C0E12"/>
    <w:multiLevelType w:val="hybridMultilevel"/>
    <w:tmpl w:val="8430AC30"/>
    <w:lvl w:ilvl="0" w:tplc="3962CD7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750B2A"/>
    <w:multiLevelType w:val="hybridMultilevel"/>
    <w:tmpl w:val="B86A3F3C"/>
    <w:lvl w:ilvl="0" w:tplc="4E3476DE">
      <w:start w:val="1"/>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01D4ABE"/>
    <w:multiLevelType w:val="hybridMultilevel"/>
    <w:tmpl w:val="355C8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EE0E5A"/>
    <w:multiLevelType w:val="hybridMultilevel"/>
    <w:tmpl w:val="D902D380"/>
    <w:lvl w:ilvl="0" w:tplc="CF3248A2">
      <w:start w:val="1"/>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4F1"/>
    <w:rsid w:val="001237DE"/>
    <w:rsid w:val="007A6E2F"/>
    <w:rsid w:val="00BD67A3"/>
    <w:rsid w:val="00EB04F1"/>
    <w:rsid w:val="00F62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072B9"/>
  <w15:chartTrackingRefBased/>
  <w15:docId w15:val="{5D0C2138-0B67-41A2-863D-E59912948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4F1"/>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EB04F1"/>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EB04F1"/>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4F1"/>
    <w:rPr>
      <w:rFonts w:ascii="Arial" w:eastAsia="Arial" w:hAnsi="Arial" w:cs="Arial"/>
      <w:sz w:val="40"/>
      <w:szCs w:val="40"/>
      <w:lang w:val="en"/>
    </w:rPr>
  </w:style>
  <w:style w:type="character" w:customStyle="1" w:styleId="Heading2Char">
    <w:name w:val="Heading 2 Char"/>
    <w:basedOn w:val="DefaultParagraphFont"/>
    <w:link w:val="Heading2"/>
    <w:uiPriority w:val="9"/>
    <w:rsid w:val="00EB04F1"/>
    <w:rPr>
      <w:rFonts w:ascii="Arial" w:eastAsia="Arial" w:hAnsi="Arial" w:cs="Arial"/>
      <w:sz w:val="32"/>
      <w:szCs w:val="32"/>
      <w:lang w:val="en"/>
    </w:rPr>
  </w:style>
  <w:style w:type="paragraph" w:styleId="CommentText">
    <w:name w:val="annotation text"/>
    <w:basedOn w:val="Normal"/>
    <w:link w:val="CommentTextChar"/>
    <w:uiPriority w:val="99"/>
    <w:semiHidden/>
    <w:unhideWhenUsed/>
    <w:rsid w:val="00EB04F1"/>
    <w:pPr>
      <w:spacing w:line="240" w:lineRule="auto"/>
    </w:pPr>
    <w:rPr>
      <w:sz w:val="20"/>
      <w:szCs w:val="20"/>
    </w:rPr>
  </w:style>
  <w:style w:type="character" w:customStyle="1" w:styleId="CommentTextChar">
    <w:name w:val="Comment Text Char"/>
    <w:basedOn w:val="DefaultParagraphFont"/>
    <w:link w:val="CommentText"/>
    <w:uiPriority w:val="99"/>
    <w:semiHidden/>
    <w:rsid w:val="00EB04F1"/>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EB04F1"/>
    <w:rPr>
      <w:sz w:val="16"/>
      <w:szCs w:val="16"/>
    </w:rPr>
  </w:style>
  <w:style w:type="paragraph" w:styleId="ListParagraph">
    <w:name w:val="List Paragraph"/>
    <w:basedOn w:val="Normal"/>
    <w:uiPriority w:val="34"/>
    <w:qFormat/>
    <w:rsid w:val="00EB04F1"/>
    <w:pPr>
      <w:ind w:left="720"/>
      <w:contextualSpacing/>
    </w:pPr>
  </w:style>
  <w:style w:type="paragraph" w:styleId="Bibliography">
    <w:name w:val="Bibliography"/>
    <w:basedOn w:val="Normal"/>
    <w:next w:val="Normal"/>
    <w:uiPriority w:val="37"/>
    <w:unhideWhenUsed/>
    <w:rsid w:val="00EB04F1"/>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3201</Words>
  <Characters>18250</Characters>
  <Application>Microsoft Office Word</Application>
  <DocSecurity>0</DocSecurity>
  <Lines>152</Lines>
  <Paragraphs>42</Paragraphs>
  <ScaleCrop>false</ScaleCrop>
  <Company/>
  <LinksUpToDate>false</LinksUpToDate>
  <CharactersWithSpaces>21409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helminski</dc:creator>
  <cp:keywords/>
  <dc:description/>
  <cp:lastModifiedBy>danielle helminski</cp:lastModifiedBy>
  <cp:revision>3</cp:revision>
  <dcterms:created xsi:type="dcterms:W3CDTF">2021-11-03T13:54:00Z</dcterms:created>
  <dcterms:modified xsi:type="dcterms:W3CDTF">2021-11-16T16:46:00Z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zotero-version="5.0.94"&gt;&lt;session id="G7H3GRtr"/&gt;&lt;style id="http://www.zotero.org/styles/american-medical-association" hasBibliography="1" bibliographyStyleHasBeenSet="1"/&gt;&lt;prefs&gt;&lt;pref name="fieldType" value="Field"/&gt;&lt;/prefs&gt;&lt;/data&gt;</vt:lpwstr>
  </property>
</Properties>
</file>