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D326A5" w14:textId="77777777" w:rsidR="00DA1906" w:rsidRDefault="00000000">
      <w:pPr>
        <w:spacing w:before="240" w:after="240"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Supplementary tables</w:t>
      </w:r>
    </w:p>
    <w:p w14:paraId="6C7E31AD" w14:textId="77777777" w:rsidR="00DA1906" w:rsidRDefault="00000000">
      <w:pPr>
        <w:spacing w:before="240" w:after="240"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Beyond pathogen enrichment: restructuring of the foliar mycobiome in declining giant sequoia </w:t>
      </w:r>
    </w:p>
    <w:p w14:paraId="40449A5B" w14:textId="77777777" w:rsidR="00DA1906" w:rsidRDefault="00DA19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E26D1A" w14:textId="77777777" w:rsidR="00DA1906" w:rsidRPr="002F06C0" w:rsidRDefault="00000000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2F06C0">
        <w:rPr>
          <w:rFonts w:ascii="Times New Roman" w:eastAsia="Times New Roman" w:hAnsi="Times New Roman" w:cs="Times New Roman"/>
          <w:sz w:val="24"/>
          <w:szCs w:val="24"/>
          <w:lang w:val="de-DE"/>
        </w:rPr>
        <w:t>Blessing Alabi</w:t>
      </w:r>
      <w:r w:rsidRPr="002F06C0">
        <w:rPr>
          <w:rFonts w:ascii="Times New Roman" w:eastAsia="Times New Roman" w:hAnsi="Times New Roman" w:cs="Times New Roman"/>
          <w:sz w:val="24"/>
          <w:szCs w:val="24"/>
          <w:vertAlign w:val="superscript"/>
          <w:lang w:val="de-DE"/>
        </w:rPr>
        <w:t>1</w:t>
      </w:r>
      <w:r w:rsidRPr="002F06C0">
        <w:rPr>
          <w:rFonts w:ascii="Times New Roman" w:eastAsia="Times New Roman" w:hAnsi="Times New Roman" w:cs="Times New Roman"/>
          <w:sz w:val="24"/>
          <w:szCs w:val="24"/>
          <w:lang w:val="de-DE"/>
        </w:rPr>
        <w:t>, Abiodun Abeeb Azeez</w:t>
      </w:r>
      <w:r w:rsidRPr="002F06C0">
        <w:rPr>
          <w:rFonts w:ascii="Times New Roman" w:eastAsia="Times New Roman" w:hAnsi="Times New Roman" w:cs="Times New Roman"/>
          <w:sz w:val="24"/>
          <w:szCs w:val="24"/>
          <w:vertAlign w:val="superscript"/>
          <w:lang w:val="de-DE"/>
        </w:rPr>
        <w:t>2</w:t>
      </w:r>
      <w:r w:rsidRPr="002F06C0">
        <w:rPr>
          <w:rFonts w:ascii="Times New Roman" w:eastAsia="Times New Roman" w:hAnsi="Times New Roman" w:cs="Times New Roman"/>
          <w:sz w:val="24"/>
          <w:szCs w:val="24"/>
          <w:lang w:val="de-DE"/>
        </w:rPr>
        <w:t>, Emma Lührs</w:t>
      </w:r>
      <w:r w:rsidRPr="002F06C0">
        <w:rPr>
          <w:rFonts w:ascii="Times New Roman" w:eastAsia="Times New Roman" w:hAnsi="Times New Roman" w:cs="Times New Roman"/>
          <w:sz w:val="24"/>
          <w:szCs w:val="24"/>
          <w:vertAlign w:val="superscript"/>
          <w:lang w:val="de-DE"/>
        </w:rPr>
        <w:t>1</w:t>
      </w:r>
      <w:r w:rsidRPr="002F06C0">
        <w:rPr>
          <w:rFonts w:ascii="Times New Roman" w:eastAsia="Times New Roman" w:hAnsi="Times New Roman" w:cs="Times New Roman"/>
          <w:sz w:val="24"/>
          <w:szCs w:val="24"/>
          <w:lang w:val="de-DE"/>
        </w:rPr>
        <w:t>, Frederik Siebert</w:t>
      </w:r>
      <w:r w:rsidRPr="002F06C0">
        <w:rPr>
          <w:rFonts w:ascii="Times New Roman" w:eastAsia="Times New Roman" w:hAnsi="Times New Roman" w:cs="Times New Roman"/>
          <w:sz w:val="24"/>
          <w:szCs w:val="24"/>
          <w:vertAlign w:val="superscript"/>
          <w:lang w:val="de-DE"/>
        </w:rPr>
        <w:t>1</w:t>
      </w:r>
      <w:r w:rsidRPr="002F06C0">
        <w:rPr>
          <w:rFonts w:ascii="Times New Roman" w:eastAsia="Times New Roman" w:hAnsi="Times New Roman" w:cs="Times New Roman"/>
          <w:sz w:val="24"/>
          <w:szCs w:val="24"/>
          <w:lang w:val="de-DE"/>
        </w:rPr>
        <w:t>, Kathrin Blumenstein</w:t>
      </w:r>
      <w:r w:rsidRPr="002F06C0">
        <w:rPr>
          <w:rFonts w:ascii="Times New Roman" w:eastAsia="Times New Roman" w:hAnsi="Times New Roman" w:cs="Times New Roman"/>
          <w:sz w:val="24"/>
          <w:szCs w:val="24"/>
          <w:vertAlign w:val="superscript"/>
          <w:lang w:val="de-DE"/>
        </w:rPr>
        <w:t>1</w:t>
      </w:r>
    </w:p>
    <w:p w14:paraId="63804254" w14:textId="77777777" w:rsidR="00DA1906" w:rsidRPr="002F06C0" w:rsidRDefault="00DA1906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</w:p>
    <w:p w14:paraId="4A7D8015" w14:textId="77777777" w:rsidR="00DA1906" w:rsidRDefault="00000000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Chair of Pathology of Trees, Institute of Forestry, Faculty of Environment and Natural </w:t>
      </w:r>
    </w:p>
    <w:p w14:paraId="4BA7913A" w14:textId="77777777" w:rsidR="00DA1906" w:rsidRDefault="00000000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Resources, University of Freiburg,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Bertoldstr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17, 79098 Freiburg, Germany</w:t>
      </w:r>
    </w:p>
    <w:p w14:paraId="767B319D" w14:textId="77777777" w:rsidR="00DA1906" w:rsidRDefault="00000000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Department of Forest Sciences, University of Helsinki,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Latokartanonkaari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5, P. O. Box 27, 00014, Helsinki.</w:t>
      </w:r>
      <w:r>
        <w:br w:type="page"/>
      </w:r>
    </w:p>
    <w:p w14:paraId="6F2B422D" w14:textId="77777777" w:rsidR="00DA1906" w:rsidRDefault="00000000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Table S1. PERMANOVA result for the health status and vitality class on fungal community composition</w:t>
      </w:r>
    </w:p>
    <w:tbl>
      <w:tblPr>
        <w:tblStyle w:val="a"/>
        <w:tblW w:w="5040" w:type="dxa"/>
        <w:tblInd w:w="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470"/>
        <w:gridCol w:w="735"/>
        <w:gridCol w:w="990"/>
        <w:gridCol w:w="930"/>
        <w:gridCol w:w="915"/>
      </w:tblGrid>
      <w:tr w:rsidR="00DA1906" w14:paraId="4348C459" w14:textId="77777777">
        <w:trPr>
          <w:trHeight w:val="253"/>
        </w:trPr>
        <w:tc>
          <w:tcPr>
            <w:tcW w:w="1470" w:type="dxa"/>
            <w:tcBorders>
              <w:top w:val="single" w:sz="4" w:space="0" w:color="000000"/>
              <w:bottom w:val="single" w:sz="4" w:space="0" w:color="000000"/>
            </w:tcBorders>
          </w:tcPr>
          <w:p w14:paraId="6996B8FF" w14:textId="77777777" w:rsidR="00DA1906" w:rsidRDefault="00000000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Factor</w:t>
            </w:r>
          </w:p>
        </w:tc>
        <w:tc>
          <w:tcPr>
            <w:tcW w:w="735" w:type="dxa"/>
            <w:tcBorders>
              <w:top w:val="single" w:sz="4" w:space="0" w:color="000000"/>
              <w:bottom w:val="single" w:sz="4" w:space="0" w:color="000000"/>
            </w:tcBorders>
          </w:tcPr>
          <w:p w14:paraId="56440A31" w14:textId="77777777" w:rsidR="00DA1906" w:rsidRDefault="00000000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</w:tcBorders>
          </w:tcPr>
          <w:p w14:paraId="0B47E7CD" w14:textId="77777777" w:rsidR="00DA1906" w:rsidRDefault="00000000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R²</w:t>
            </w:r>
          </w:p>
        </w:tc>
        <w:tc>
          <w:tcPr>
            <w:tcW w:w="930" w:type="dxa"/>
            <w:tcBorders>
              <w:top w:val="single" w:sz="4" w:space="0" w:color="000000"/>
              <w:bottom w:val="single" w:sz="4" w:space="0" w:color="000000"/>
            </w:tcBorders>
          </w:tcPr>
          <w:p w14:paraId="60944976" w14:textId="77777777" w:rsidR="00DA1906" w:rsidRDefault="00000000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</w:t>
            </w:r>
          </w:p>
        </w:tc>
        <w:tc>
          <w:tcPr>
            <w:tcW w:w="915" w:type="dxa"/>
            <w:tcBorders>
              <w:top w:val="single" w:sz="4" w:space="0" w:color="000000"/>
              <w:bottom w:val="single" w:sz="4" w:space="0" w:color="000000"/>
            </w:tcBorders>
          </w:tcPr>
          <w:p w14:paraId="33D3113B" w14:textId="77777777" w:rsidR="00DA1906" w:rsidRDefault="00000000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(&gt;F)  </w:t>
            </w:r>
          </w:p>
        </w:tc>
      </w:tr>
      <w:tr w:rsidR="00DA1906" w14:paraId="5ADBE7A3" w14:textId="77777777">
        <w:tc>
          <w:tcPr>
            <w:tcW w:w="1470" w:type="dxa"/>
            <w:tcBorders>
              <w:top w:val="single" w:sz="4" w:space="0" w:color="000000"/>
            </w:tcBorders>
          </w:tcPr>
          <w:p w14:paraId="59A161D9" w14:textId="77777777" w:rsidR="00DA1906" w:rsidRDefault="00000000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Health status</w:t>
            </w:r>
          </w:p>
        </w:tc>
        <w:tc>
          <w:tcPr>
            <w:tcW w:w="735" w:type="dxa"/>
            <w:tcBorders>
              <w:top w:val="single" w:sz="4" w:space="0" w:color="000000"/>
            </w:tcBorders>
          </w:tcPr>
          <w:p w14:paraId="1F33A1AB" w14:textId="77777777" w:rsidR="00DA1906" w:rsidRDefault="00000000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</w:tcBorders>
          </w:tcPr>
          <w:p w14:paraId="1ACDDCD0" w14:textId="77777777" w:rsidR="00DA1906" w:rsidRDefault="00000000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0.158</w:t>
            </w:r>
          </w:p>
        </w:tc>
        <w:tc>
          <w:tcPr>
            <w:tcW w:w="930" w:type="dxa"/>
            <w:tcBorders>
              <w:top w:val="single" w:sz="4" w:space="0" w:color="000000"/>
            </w:tcBorders>
          </w:tcPr>
          <w:p w14:paraId="669CDA2C" w14:textId="77777777" w:rsidR="00DA1906" w:rsidRDefault="00000000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915" w:type="dxa"/>
            <w:tcBorders>
              <w:top w:val="single" w:sz="4" w:space="0" w:color="000000"/>
            </w:tcBorders>
          </w:tcPr>
          <w:p w14:paraId="2A6AB62F" w14:textId="77777777" w:rsidR="00DA1906" w:rsidRDefault="00000000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DA1906" w14:paraId="47BE38E0" w14:textId="77777777">
        <w:tc>
          <w:tcPr>
            <w:tcW w:w="1470" w:type="dxa"/>
          </w:tcPr>
          <w:p w14:paraId="41524BC1" w14:textId="77777777" w:rsidR="00DA1906" w:rsidRDefault="00000000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Vitality class</w:t>
            </w:r>
          </w:p>
        </w:tc>
        <w:tc>
          <w:tcPr>
            <w:tcW w:w="735" w:type="dxa"/>
          </w:tcPr>
          <w:p w14:paraId="0D310867" w14:textId="77777777" w:rsidR="00DA1906" w:rsidRDefault="00000000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0" w:type="dxa"/>
          </w:tcPr>
          <w:p w14:paraId="2D1C105D" w14:textId="77777777" w:rsidR="00DA1906" w:rsidRDefault="00000000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0.178</w:t>
            </w:r>
          </w:p>
        </w:tc>
        <w:tc>
          <w:tcPr>
            <w:tcW w:w="930" w:type="dxa"/>
          </w:tcPr>
          <w:p w14:paraId="28AC9B6D" w14:textId="77777777" w:rsidR="00DA1906" w:rsidRDefault="00000000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4.01</w:t>
            </w:r>
          </w:p>
        </w:tc>
        <w:tc>
          <w:tcPr>
            <w:tcW w:w="915" w:type="dxa"/>
          </w:tcPr>
          <w:p w14:paraId="00D35DB2" w14:textId="77777777" w:rsidR="00DA1906" w:rsidRDefault="00000000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0.001</w:t>
            </w:r>
          </w:p>
        </w:tc>
      </w:tr>
    </w:tbl>
    <w:p w14:paraId="6798C097" w14:textId="77777777" w:rsidR="00DA1906" w:rsidRDefault="00DA1906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2156A4" w14:textId="77777777" w:rsidR="00DA1906" w:rsidRDefault="00000000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Table S2. Pairwise PERMANOVA between vitality classes (VC0, VC2, VC3)</w:t>
      </w:r>
    </w:p>
    <w:tbl>
      <w:tblPr>
        <w:tblStyle w:val="a0"/>
        <w:tblW w:w="7442" w:type="dxa"/>
        <w:tblInd w:w="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136"/>
        <w:gridCol w:w="1078"/>
        <w:gridCol w:w="669"/>
        <w:gridCol w:w="561"/>
        <w:gridCol w:w="1553"/>
        <w:gridCol w:w="1445"/>
      </w:tblGrid>
      <w:tr w:rsidR="00DA1906" w14:paraId="34785D3E" w14:textId="77777777" w:rsidTr="002F06C0">
        <w:trPr>
          <w:trHeight w:val="524"/>
        </w:trPr>
        <w:tc>
          <w:tcPr>
            <w:tcW w:w="2136" w:type="dxa"/>
            <w:tcBorders>
              <w:top w:val="single" w:sz="4" w:space="0" w:color="000000"/>
              <w:bottom w:val="single" w:sz="4" w:space="0" w:color="000000"/>
            </w:tcBorders>
          </w:tcPr>
          <w:p w14:paraId="1C05C01A" w14:textId="77777777" w:rsidR="00DA1906" w:rsidRDefault="0000000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Pairs</w:t>
            </w:r>
          </w:p>
        </w:tc>
        <w:tc>
          <w:tcPr>
            <w:tcW w:w="174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3A755DA" w14:textId="77777777" w:rsidR="00DA1906" w:rsidRDefault="0000000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R²</w:t>
            </w:r>
          </w:p>
        </w:tc>
        <w:tc>
          <w:tcPr>
            <w:tcW w:w="561" w:type="dxa"/>
            <w:tcBorders>
              <w:top w:val="single" w:sz="4" w:space="0" w:color="000000"/>
              <w:bottom w:val="single" w:sz="4" w:space="0" w:color="000000"/>
            </w:tcBorders>
          </w:tcPr>
          <w:p w14:paraId="65954CB5" w14:textId="77777777" w:rsidR="00DA1906" w:rsidRDefault="0000000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</w:t>
            </w:r>
          </w:p>
        </w:tc>
        <w:tc>
          <w:tcPr>
            <w:tcW w:w="1553" w:type="dxa"/>
            <w:tcBorders>
              <w:top w:val="single" w:sz="4" w:space="0" w:color="000000"/>
              <w:bottom w:val="single" w:sz="4" w:space="0" w:color="000000"/>
            </w:tcBorders>
          </w:tcPr>
          <w:p w14:paraId="2BACA4A8" w14:textId="77777777" w:rsidR="00DA1906" w:rsidRDefault="0000000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  <w:tc>
          <w:tcPr>
            <w:tcW w:w="1445" w:type="dxa"/>
            <w:tcBorders>
              <w:top w:val="single" w:sz="4" w:space="0" w:color="000000"/>
              <w:bottom w:val="single" w:sz="4" w:space="0" w:color="000000"/>
            </w:tcBorders>
          </w:tcPr>
          <w:p w14:paraId="19357FE6" w14:textId="77777777" w:rsidR="00DA1906" w:rsidRDefault="0000000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 (BH)</w:t>
            </w:r>
          </w:p>
        </w:tc>
      </w:tr>
      <w:tr w:rsidR="00DA1906" w14:paraId="0E958663" w14:textId="77777777" w:rsidTr="002F06C0">
        <w:trPr>
          <w:trHeight w:val="1049"/>
        </w:trPr>
        <w:tc>
          <w:tcPr>
            <w:tcW w:w="2136" w:type="dxa"/>
            <w:tcBorders>
              <w:top w:val="single" w:sz="4" w:space="0" w:color="000000"/>
            </w:tcBorders>
          </w:tcPr>
          <w:p w14:paraId="089DE054" w14:textId="77777777" w:rsidR="00DA1906" w:rsidRDefault="00000000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VC0 vs VC2</w:t>
            </w:r>
          </w:p>
        </w:tc>
        <w:tc>
          <w:tcPr>
            <w:tcW w:w="1078" w:type="dxa"/>
            <w:tcBorders>
              <w:top w:val="single" w:sz="4" w:space="0" w:color="000000"/>
            </w:tcBorders>
          </w:tcPr>
          <w:p w14:paraId="2BB3B0F6" w14:textId="77777777" w:rsidR="00DA1906" w:rsidRDefault="00000000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0.144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</w:tcBorders>
          </w:tcPr>
          <w:p w14:paraId="27989AEB" w14:textId="77777777" w:rsidR="00DA1906" w:rsidRDefault="0000000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4.384</w:t>
            </w:r>
          </w:p>
        </w:tc>
        <w:tc>
          <w:tcPr>
            <w:tcW w:w="1553" w:type="dxa"/>
            <w:tcBorders>
              <w:top w:val="single" w:sz="4" w:space="0" w:color="000000"/>
            </w:tcBorders>
          </w:tcPr>
          <w:p w14:paraId="247C0323" w14:textId="77777777" w:rsidR="00DA1906" w:rsidRDefault="00000000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445" w:type="dxa"/>
            <w:tcBorders>
              <w:top w:val="single" w:sz="4" w:space="0" w:color="000000"/>
            </w:tcBorders>
          </w:tcPr>
          <w:p w14:paraId="4491206B" w14:textId="77777777" w:rsidR="00DA1906" w:rsidRDefault="00000000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0.002</w:t>
            </w:r>
          </w:p>
        </w:tc>
      </w:tr>
      <w:tr w:rsidR="00DA1906" w14:paraId="12277397" w14:textId="77777777" w:rsidTr="002F06C0">
        <w:trPr>
          <w:trHeight w:val="1065"/>
        </w:trPr>
        <w:tc>
          <w:tcPr>
            <w:tcW w:w="2136" w:type="dxa"/>
          </w:tcPr>
          <w:p w14:paraId="19512B74" w14:textId="77777777" w:rsidR="00DA1906" w:rsidRDefault="00000000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VC0 vs VC3</w:t>
            </w:r>
          </w:p>
        </w:tc>
        <w:tc>
          <w:tcPr>
            <w:tcW w:w="1078" w:type="dxa"/>
          </w:tcPr>
          <w:p w14:paraId="59FCD06A" w14:textId="77777777" w:rsidR="00DA1906" w:rsidRDefault="00000000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0.156</w:t>
            </w:r>
          </w:p>
        </w:tc>
        <w:tc>
          <w:tcPr>
            <w:tcW w:w="1230" w:type="dxa"/>
            <w:gridSpan w:val="2"/>
          </w:tcPr>
          <w:p w14:paraId="52D45317" w14:textId="77777777" w:rsidR="00DA1906" w:rsidRDefault="0000000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5.538</w:t>
            </w:r>
          </w:p>
        </w:tc>
        <w:tc>
          <w:tcPr>
            <w:tcW w:w="1553" w:type="dxa"/>
          </w:tcPr>
          <w:p w14:paraId="3684785E" w14:textId="77777777" w:rsidR="00DA1906" w:rsidRDefault="00000000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445" w:type="dxa"/>
          </w:tcPr>
          <w:p w14:paraId="130A6DEA" w14:textId="77777777" w:rsidR="00DA1906" w:rsidRDefault="00000000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0.002</w:t>
            </w:r>
          </w:p>
        </w:tc>
      </w:tr>
      <w:tr w:rsidR="00DA1906" w14:paraId="23F556FF" w14:textId="77777777" w:rsidTr="002F06C0">
        <w:trPr>
          <w:trHeight w:val="1065"/>
        </w:trPr>
        <w:tc>
          <w:tcPr>
            <w:tcW w:w="2136" w:type="dxa"/>
          </w:tcPr>
          <w:p w14:paraId="0E8A2992" w14:textId="77777777" w:rsidR="00DA1906" w:rsidRDefault="00000000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VC2 vs VC3</w:t>
            </w:r>
          </w:p>
        </w:tc>
        <w:tc>
          <w:tcPr>
            <w:tcW w:w="1078" w:type="dxa"/>
          </w:tcPr>
          <w:p w14:paraId="656984FA" w14:textId="77777777" w:rsidR="00DA1906" w:rsidRDefault="00000000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0.050</w:t>
            </w:r>
          </w:p>
        </w:tc>
        <w:tc>
          <w:tcPr>
            <w:tcW w:w="1230" w:type="dxa"/>
            <w:gridSpan w:val="2"/>
          </w:tcPr>
          <w:p w14:paraId="1C1F5AD7" w14:textId="77777777" w:rsidR="00DA1906" w:rsidRDefault="0000000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0.915</w:t>
            </w:r>
          </w:p>
        </w:tc>
        <w:tc>
          <w:tcPr>
            <w:tcW w:w="1553" w:type="dxa"/>
          </w:tcPr>
          <w:p w14:paraId="79ECB2C8" w14:textId="77777777" w:rsidR="00DA1906" w:rsidRDefault="00000000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0.525</w:t>
            </w:r>
          </w:p>
        </w:tc>
        <w:tc>
          <w:tcPr>
            <w:tcW w:w="1445" w:type="dxa"/>
          </w:tcPr>
          <w:p w14:paraId="0893AA35" w14:textId="77777777" w:rsidR="00DA1906" w:rsidRDefault="00000000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0.525</w:t>
            </w:r>
          </w:p>
        </w:tc>
      </w:tr>
    </w:tbl>
    <w:p w14:paraId="161740C4" w14:textId="77777777" w:rsidR="00DA1906" w:rsidRDefault="00DA1906">
      <w:pPr>
        <w:spacing w:line="480" w:lineRule="auto"/>
        <w:jc w:val="both"/>
        <w:rPr>
          <w:rFonts w:ascii="Times New Roman" w:eastAsia="Times New Roman" w:hAnsi="Times New Roman" w:cs="Times New Roman"/>
          <w:color w:val="C55911"/>
          <w:sz w:val="24"/>
          <w:szCs w:val="24"/>
        </w:rPr>
      </w:pPr>
    </w:p>
    <w:p w14:paraId="151C67A9" w14:textId="77777777" w:rsidR="00DA1906" w:rsidRDefault="00000000">
      <w:pPr>
        <w:spacing w:after="16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7DC18AAB" w14:textId="77777777" w:rsidR="00DA1906" w:rsidRDefault="00000000">
      <w:pPr>
        <w:spacing w:after="16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Table S3. Global network properties and centrality comparisons for asymptomatic and symptomatic fungal co-occurrence networks constructed using SPRING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NetCoMi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v1.1.0). Significance codes: ** p &lt; 0.01; * p &lt; 0.05.</w:t>
      </w:r>
    </w:p>
    <w:tbl>
      <w:tblPr>
        <w:tblStyle w:val="a1"/>
        <w:tblW w:w="889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720"/>
        <w:gridCol w:w="1770"/>
        <w:gridCol w:w="2130"/>
        <w:gridCol w:w="1275"/>
      </w:tblGrid>
      <w:tr w:rsidR="00DA1906" w14:paraId="7D28F6C3" w14:textId="77777777">
        <w:trPr>
          <w:trHeight w:val="255"/>
        </w:trPr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F1BEE1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Network feature</w:t>
            </w:r>
          </w:p>
        </w:tc>
        <w:tc>
          <w:tcPr>
            <w:tcW w:w="17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3481D9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Asymptomatic</w:t>
            </w:r>
          </w:p>
        </w:tc>
        <w:tc>
          <w:tcPr>
            <w:tcW w:w="213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663FF0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Symptomatic</w:t>
            </w: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AFDFC9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A1906" w14:paraId="25A0EA0A" w14:textId="77777777">
        <w:trPr>
          <w:trHeight w:val="255"/>
        </w:trPr>
        <w:tc>
          <w:tcPr>
            <w:tcW w:w="37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8F8164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Number of edges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63980B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CCB91C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E63C38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A1906" w14:paraId="7E83A798" w14:textId="77777777">
        <w:trPr>
          <w:trHeight w:val="255"/>
        </w:trPr>
        <w:tc>
          <w:tcPr>
            <w:tcW w:w="37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3F563B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Number of nodes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DBCBAE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21BF87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BD9ED8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DA1906" w14:paraId="5FB1F08A" w14:textId="77777777">
        <w:trPr>
          <w:trHeight w:val="255"/>
        </w:trPr>
        <w:tc>
          <w:tcPr>
            <w:tcW w:w="37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C17E56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Number of components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187657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80E449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C2A7F2" w14:textId="77777777" w:rsidR="00DA1906" w:rsidRDefault="00DA19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1906" w14:paraId="24AB69EE" w14:textId="77777777">
        <w:trPr>
          <w:trHeight w:val="735"/>
        </w:trPr>
        <w:tc>
          <w:tcPr>
            <w:tcW w:w="37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65C11D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Relative size of the largest connected component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AE4D5B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DA4B09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7D9435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A1906" w14:paraId="61736CA1" w14:textId="77777777">
        <w:trPr>
          <w:trHeight w:val="255"/>
        </w:trPr>
        <w:tc>
          <w:tcPr>
            <w:tcW w:w="37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0B9D89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Edge density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A774F3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0.044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3E627F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558244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A1906" w14:paraId="6A9850A2" w14:textId="77777777">
        <w:trPr>
          <w:trHeight w:val="255"/>
        </w:trPr>
        <w:tc>
          <w:tcPr>
            <w:tcW w:w="37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1B34FB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Modularity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CC4884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0.527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06C6CC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054797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A1906" w14:paraId="2917C507" w14:textId="77777777">
        <w:trPr>
          <w:trHeight w:val="255"/>
        </w:trPr>
        <w:tc>
          <w:tcPr>
            <w:tcW w:w="37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5A3C74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Average path length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CE13AB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D565C2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AD86C2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A1906" w14:paraId="6BE91E08" w14:textId="77777777">
        <w:trPr>
          <w:trHeight w:val="495"/>
        </w:trPr>
        <w:tc>
          <w:tcPr>
            <w:tcW w:w="37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EE5D76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Positive edge percentage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842905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70.213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2684A6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73.016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BBBA5B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A1906" w14:paraId="1C019A9C" w14:textId="77777777">
        <w:trPr>
          <w:trHeight w:val="495"/>
        </w:trPr>
        <w:tc>
          <w:tcPr>
            <w:tcW w:w="37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32052D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Clustering coefficient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FD7B52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0.175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70C8D1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D4AD1B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A1906" w14:paraId="45ABA6B0" w14:textId="77777777">
        <w:trPr>
          <w:trHeight w:val="255"/>
        </w:trPr>
        <w:tc>
          <w:tcPr>
            <w:tcW w:w="37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951630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Average dissimilarity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80D5CC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96F34F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0115BB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A1906" w14:paraId="3D08AA56" w14:textId="77777777">
        <w:trPr>
          <w:trHeight w:val="255"/>
        </w:trPr>
        <w:tc>
          <w:tcPr>
            <w:tcW w:w="37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267C3C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7902E2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705FF6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1E1B43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A1906" w14:paraId="5A20C7A1" w14:textId="77777777">
        <w:trPr>
          <w:trHeight w:val="285"/>
        </w:trPr>
        <w:tc>
          <w:tcPr>
            <w:tcW w:w="37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7B8CA5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Centrality measure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CF62E4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11B393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Gungsuh" w:eastAsia="Gungsuh" w:hAnsi="Gungsuh" w:cs="Gungsuh"/>
                <w:b/>
                <w:bCs/>
                <w:sz w:val="24"/>
                <w:szCs w:val="24"/>
              </w:rPr>
              <w:t>P(≤J)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22D3B6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Gungsuh" w:eastAsia="Gungsuh" w:hAnsi="Gungsuh" w:cs="Gungsuh"/>
                <w:b/>
                <w:bCs/>
                <w:sz w:val="24"/>
                <w:szCs w:val="24"/>
              </w:rPr>
              <w:t>P(≥J)</w:t>
            </w:r>
          </w:p>
        </w:tc>
      </w:tr>
      <w:tr w:rsidR="00DA1906" w14:paraId="5AEE6BFA" w14:textId="77777777">
        <w:trPr>
          <w:trHeight w:val="285"/>
        </w:trPr>
        <w:tc>
          <w:tcPr>
            <w:tcW w:w="37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975583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Degree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B85D40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0.207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DE5836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EAE209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0.955</w:t>
            </w:r>
          </w:p>
        </w:tc>
      </w:tr>
      <w:tr w:rsidR="00DA1906" w14:paraId="1CD66CC0" w14:textId="77777777">
        <w:trPr>
          <w:trHeight w:val="285"/>
        </w:trPr>
        <w:tc>
          <w:tcPr>
            <w:tcW w:w="37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B147A4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Betweenness centrality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160EAF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0.258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3E1A93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8E72C9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0.861</w:t>
            </w:r>
          </w:p>
        </w:tc>
      </w:tr>
      <w:tr w:rsidR="00DA1906" w14:paraId="62B18A53" w14:textId="77777777">
        <w:trPr>
          <w:trHeight w:val="285"/>
        </w:trPr>
        <w:tc>
          <w:tcPr>
            <w:tcW w:w="37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16D285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Closeness centrality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97312D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0.143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4664A9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0.009**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909504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0.997</w:t>
            </w:r>
          </w:p>
        </w:tc>
      </w:tr>
      <w:tr w:rsidR="00DA1906" w14:paraId="5D828FE1" w14:textId="77777777">
        <w:trPr>
          <w:trHeight w:val="285"/>
        </w:trPr>
        <w:tc>
          <w:tcPr>
            <w:tcW w:w="37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14841E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Eigenvector centrality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1D574E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0.143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AB0E1A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0.009**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48A8D9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0.997</w:t>
            </w:r>
          </w:p>
        </w:tc>
      </w:tr>
      <w:tr w:rsidR="00DA1906" w14:paraId="39B7E827" w14:textId="77777777">
        <w:trPr>
          <w:trHeight w:val="285"/>
        </w:trPr>
        <w:tc>
          <w:tcPr>
            <w:tcW w:w="37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D69F19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Hub taxa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A285A7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EE565F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0.039*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745A44" w14:textId="77777777" w:rsidR="00DA190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</w:tr>
    </w:tbl>
    <w:p w14:paraId="5F51E6F9" w14:textId="77777777" w:rsidR="00DA1906" w:rsidRDefault="00000000">
      <w:pPr>
        <w:spacing w:after="16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6416D13F" w14:textId="77777777" w:rsidR="00DA1906" w:rsidRDefault="00000000">
      <w:pPr>
        <w:spacing w:before="240" w:after="240"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Supplementary Figures</w:t>
      </w:r>
    </w:p>
    <w:p w14:paraId="5A664237" w14:textId="77777777" w:rsidR="00DA1906" w:rsidRDefault="00000000">
      <w:pPr>
        <w:spacing w:before="240" w:after="240"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Beyond pathogen enrichment: restructuring of the foliar mycobiome in declining giant sequoia </w:t>
      </w:r>
    </w:p>
    <w:p w14:paraId="20071A24" w14:textId="77777777" w:rsidR="00DA1906" w:rsidRDefault="00DA19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82889B" w14:textId="77777777" w:rsidR="00DA1906" w:rsidRPr="002F06C0" w:rsidRDefault="00000000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2F06C0">
        <w:rPr>
          <w:rFonts w:ascii="Times New Roman" w:eastAsia="Times New Roman" w:hAnsi="Times New Roman" w:cs="Times New Roman"/>
          <w:sz w:val="24"/>
          <w:szCs w:val="24"/>
          <w:lang w:val="de-DE"/>
        </w:rPr>
        <w:t>Blessing Alabi</w:t>
      </w:r>
      <w:r w:rsidRPr="002F06C0">
        <w:rPr>
          <w:rFonts w:ascii="Times New Roman" w:eastAsia="Times New Roman" w:hAnsi="Times New Roman" w:cs="Times New Roman"/>
          <w:sz w:val="24"/>
          <w:szCs w:val="24"/>
          <w:vertAlign w:val="superscript"/>
          <w:lang w:val="de-DE"/>
        </w:rPr>
        <w:t>1</w:t>
      </w:r>
      <w:r w:rsidRPr="002F06C0">
        <w:rPr>
          <w:rFonts w:ascii="Times New Roman" w:eastAsia="Times New Roman" w:hAnsi="Times New Roman" w:cs="Times New Roman"/>
          <w:sz w:val="24"/>
          <w:szCs w:val="24"/>
          <w:lang w:val="de-DE"/>
        </w:rPr>
        <w:t>, Abiodun Abeeb Azeez</w:t>
      </w:r>
      <w:r w:rsidRPr="002F06C0">
        <w:rPr>
          <w:rFonts w:ascii="Times New Roman" w:eastAsia="Times New Roman" w:hAnsi="Times New Roman" w:cs="Times New Roman"/>
          <w:sz w:val="24"/>
          <w:szCs w:val="24"/>
          <w:vertAlign w:val="superscript"/>
          <w:lang w:val="de-DE"/>
        </w:rPr>
        <w:t>2</w:t>
      </w:r>
      <w:r w:rsidRPr="002F06C0">
        <w:rPr>
          <w:rFonts w:ascii="Times New Roman" w:eastAsia="Times New Roman" w:hAnsi="Times New Roman" w:cs="Times New Roman"/>
          <w:sz w:val="24"/>
          <w:szCs w:val="24"/>
          <w:lang w:val="de-DE"/>
        </w:rPr>
        <w:t>, Emma Lührs</w:t>
      </w:r>
      <w:r w:rsidRPr="002F06C0">
        <w:rPr>
          <w:rFonts w:ascii="Times New Roman" w:eastAsia="Times New Roman" w:hAnsi="Times New Roman" w:cs="Times New Roman"/>
          <w:sz w:val="24"/>
          <w:szCs w:val="24"/>
          <w:vertAlign w:val="superscript"/>
          <w:lang w:val="de-DE"/>
        </w:rPr>
        <w:t>1</w:t>
      </w:r>
      <w:r w:rsidRPr="002F06C0">
        <w:rPr>
          <w:rFonts w:ascii="Times New Roman" w:eastAsia="Times New Roman" w:hAnsi="Times New Roman" w:cs="Times New Roman"/>
          <w:sz w:val="24"/>
          <w:szCs w:val="24"/>
          <w:lang w:val="de-DE"/>
        </w:rPr>
        <w:t>, Frederik Siebert</w:t>
      </w:r>
      <w:r w:rsidRPr="002F06C0">
        <w:rPr>
          <w:rFonts w:ascii="Times New Roman" w:eastAsia="Times New Roman" w:hAnsi="Times New Roman" w:cs="Times New Roman"/>
          <w:sz w:val="24"/>
          <w:szCs w:val="24"/>
          <w:vertAlign w:val="superscript"/>
          <w:lang w:val="de-DE"/>
        </w:rPr>
        <w:t>1</w:t>
      </w:r>
      <w:r w:rsidRPr="002F06C0">
        <w:rPr>
          <w:rFonts w:ascii="Times New Roman" w:eastAsia="Times New Roman" w:hAnsi="Times New Roman" w:cs="Times New Roman"/>
          <w:sz w:val="24"/>
          <w:szCs w:val="24"/>
          <w:lang w:val="de-DE"/>
        </w:rPr>
        <w:t>, Kathrin Blumenstein</w:t>
      </w:r>
      <w:r w:rsidRPr="002F06C0">
        <w:rPr>
          <w:rFonts w:ascii="Times New Roman" w:eastAsia="Times New Roman" w:hAnsi="Times New Roman" w:cs="Times New Roman"/>
          <w:sz w:val="24"/>
          <w:szCs w:val="24"/>
          <w:vertAlign w:val="superscript"/>
          <w:lang w:val="de-DE"/>
        </w:rPr>
        <w:t>1</w:t>
      </w:r>
    </w:p>
    <w:p w14:paraId="69BF7E9E" w14:textId="77777777" w:rsidR="00DA1906" w:rsidRPr="002F06C0" w:rsidRDefault="00DA1906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</w:p>
    <w:p w14:paraId="72696B35" w14:textId="77777777" w:rsidR="00DA1906" w:rsidRDefault="00000000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eb5vmn374yqy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Chair of Pathology of Trees, Institute of Forestry, Faculty of Environment and Natural </w:t>
      </w:r>
    </w:p>
    <w:p w14:paraId="5142BB1A" w14:textId="77777777" w:rsidR="00DA1906" w:rsidRDefault="00000000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Resources, University of Freiburg,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Bertoldstr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17, 79098 Freiburg, Germany</w:t>
      </w:r>
    </w:p>
    <w:p w14:paraId="0810AF0A" w14:textId="77777777" w:rsidR="00DA1906" w:rsidRDefault="00000000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Department of Forest Sciences, University of Helsinki,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Latokartanonkaari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5, P. O. Box 27, 00014, Helsinki.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br w:type="page"/>
      </w:r>
    </w:p>
    <w:p w14:paraId="0317B6E7" w14:textId="77777777" w:rsidR="00DA1906" w:rsidRDefault="00000000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C55911"/>
          <w:sz w:val="24"/>
          <w:szCs w:val="24"/>
        </w:rPr>
        <w:lastRenderedPageBreak/>
        <w:drawing>
          <wp:inline distT="114300" distB="114300" distL="114300" distR="114300" wp14:anchorId="56C3825B" wp14:editId="256CB972">
            <wp:extent cx="5943600" cy="44577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FD06C19" w14:textId="77777777" w:rsidR="00DA1906" w:rsidRDefault="00000000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Fig. S1.</w:t>
      </w:r>
      <w:r>
        <w:rPr>
          <w:rFonts w:ascii="Times New Roman" w:eastAsia="Times New Roman" w:hAnsi="Times New Roman" w:cs="Times New Roman"/>
          <w:color w:val="C559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Shannon diversity (violin plots with embedded boxplot) in asymptomatic symptomatic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S. giganteum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trees;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-test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0.048 (BH-adjusted = 0.119);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20 per group.</w:t>
      </w:r>
      <w:r>
        <w:br w:type="page"/>
      </w:r>
    </w:p>
    <w:p w14:paraId="39CFCD0E" w14:textId="77777777" w:rsidR="00DA1906" w:rsidRDefault="00000000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114300" distB="114300" distL="114300" distR="114300" wp14:anchorId="571322D4" wp14:editId="142C05BF">
            <wp:extent cx="5943600" cy="3746500"/>
            <wp:effectExtent l="0" t="0" r="0" b="0"/>
            <wp:docPr id="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46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3FA77FC" w14:textId="77777777" w:rsidR="00DA1906" w:rsidRDefault="00DA1906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D9FFF2" w14:textId="77777777" w:rsidR="00DA1906" w:rsidRDefault="00000000">
      <w:pPr>
        <w:spacing w:before="240" w:after="24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Fig. S2.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LEfSe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analysis of differentially enriched fungal taxa among health groups.</w:t>
      </w:r>
    </w:p>
    <w:p w14:paraId="483CDB6D" w14:textId="77777777" w:rsidR="00DA1906" w:rsidRDefault="00DA1906">
      <w:pPr>
        <w:spacing w:before="240" w:after="240" w:line="480" w:lineRule="auto"/>
        <w:ind w:right="600"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61BACFD1" w14:textId="77777777" w:rsidR="00DA1906" w:rsidRDefault="00DA1906">
      <w:pPr>
        <w:spacing w:after="16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DA190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964466BA-718E-F14C-BC0A-C81F038B10D4}"/>
    <w:embedItalic r:id="rId2" w:fontKey="{2E8BDC58-4A92-F44B-BA29-8C8630B7B2E0}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5CF85D8F-B5AC-FF44-BB46-AA0A44A869D9}"/>
    <w:embedBold r:id="rId4" w:fontKey="{E8296010-E882-444A-A4F1-923627819040}"/>
    <w:embedItalic r:id="rId5" w:fontKey="{7AFB61F8-C8A6-1742-BA78-06DD0A21C05D}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  <w:embedBold r:id="rId6" w:subsetted="1" w:fontKey="{1B533EB2-22D3-EA40-B287-0E95641AD2C9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5CD0BDB2-3D03-424D-9B4D-B51FEB0A9043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DA9A8376-853C-E343-B88D-525086394A8C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4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906"/>
    <w:rsid w:val="002F06C0"/>
    <w:rsid w:val="00360EB7"/>
    <w:rsid w:val="00DA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54B066"/>
  <w15:docId w15:val="{33841661-D828-E44B-B088-C9277342A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367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Blessing Alabi</cp:lastModifiedBy>
  <cp:revision>2</cp:revision>
  <dcterms:created xsi:type="dcterms:W3CDTF">2026-09-08T12:36:00Z</dcterms:created>
  <dcterms:modified xsi:type="dcterms:W3CDTF">2026-09-08T12:37:00Z</dcterms:modified>
</cp:coreProperties>
</file>