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EFA6" w14:textId="1A0FCAB6" w:rsidR="00C44C4F" w:rsidRPr="00C44C4F" w:rsidRDefault="00C44C4F" w:rsidP="00C45D58">
      <w:pPr>
        <w:spacing w:line="480" w:lineRule="auto"/>
        <w:rPr>
          <w:rFonts w:ascii="Arial" w:hAnsi="Arial" w:cs="Arial"/>
          <w:b/>
          <w:bCs/>
        </w:rPr>
      </w:pPr>
      <w:r w:rsidRPr="00C44C4F">
        <w:rPr>
          <w:rFonts w:ascii="Arial" w:hAnsi="Arial" w:cs="Arial"/>
          <w:b/>
          <w:bCs/>
        </w:rPr>
        <w:t>Genotype-by-environment interaction for calving interval a</w:t>
      </w:r>
      <w:r w:rsidR="006B4BD4">
        <w:rPr>
          <w:rFonts w:ascii="Arial" w:hAnsi="Arial" w:cs="Arial"/>
          <w:b/>
          <w:bCs/>
        </w:rPr>
        <w:t>long</w:t>
      </w:r>
      <w:r w:rsidRPr="00C44C4F">
        <w:rPr>
          <w:rFonts w:ascii="Arial" w:hAnsi="Arial" w:cs="Arial"/>
          <w:b/>
          <w:bCs/>
        </w:rPr>
        <w:t xml:space="preserve"> a postpartum </w:t>
      </w:r>
      <w:r w:rsidR="006B4BD4">
        <w:rPr>
          <w:rFonts w:ascii="Arial" w:hAnsi="Arial" w:cs="Arial"/>
          <w:b/>
          <w:bCs/>
        </w:rPr>
        <w:t>thermal exposure</w:t>
      </w:r>
      <w:r w:rsidRPr="00C44C4F">
        <w:rPr>
          <w:rFonts w:ascii="Arial" w:hAnsi="Arial" w:cs="Arial"/>
          <w:b/>
          <w:bCs/>
        </w:rPr>
        <w:t xml:space="preserve"> gradient in Maremmana cattle</w:t>
      </w:r>
    </w:p>
    <w:p w14:paraId="60DFCD90" w14:textId="2569961F" w:rsidR="00C45D58" w:rsidRPr="00F10A29" w:rsidRDefault="00C45D58" w:rsidP="00C45D58">
      <w:pPr>
        <w:spacing w:line="480" w:lineRule="auto"/>
        <w:rPr>
          <w:rFonts w:ascii="Arial" w:hAnsi="Arial" w:cs="Arial"/>
          <w:lang w:val="it-IT"/>
        </w:rPr>
      </w:pPr>
      <w:r w:rsidRPr="00F10A29">
        <w:rPr>
          <w:rFonts w:ascii="Arial" w:hAnsi="Arial" w:cs="Arial"/>
          <w:lang w:val="it-IT"/>
        </w:rPr>
        <w:t>Eugenio Rulli</w:t>
      </w:r>
      <w:r w:rsidR="00F10A29">
        <w:rPr>
          <w:rFonts w:ascii="Arial" w:hAnsi="Arial" w:cs="Arial"/>
          <w:i/>
          <w:iCs/>
          <w:vertAlign w:val="superscript"/>
          <w:lang w:val="it-IT"/>
        </w:rPr>
        <w:t>1</w:t>
      </w:r>
      <w:r w:rsidRPr="00F10A29">
        <w:rPr>
          <w:rFonts w:ascii="Arial" w:hAnsi="Arial" w:cs="Arial"/>
          <w:i/>
          <w:iCs/>
          <w:vertAlign w:val="superscript"/>
          <w:lang w:val="it-IT"/>
        </w:rPr>
        <w:t>,</w:t>
      </w:r>
      <w:r w:rsidRPr="00F10A29">
        <w:rPr>
          <w:rFonts w:ascii="Arial" w:hAnsi="Arial" w:cs="Arial"/>
          <w:i/>
          <w:iCs/>
          <w:lang w:val="it-IT"/>
        </w:rPr>
        <w:t>*</w:t>
      </w:r>
      <w:r w:rsidRPr="00F10A29">
        <w:rPr>
          <w:rFonts w:ascii="Arial" w:hAnsi="Arial" w:cs="Arial"/>
          <w:lang w:val="it-IT"/>
        </w:rPr>
        <w:t>, Enrico Mancin</w:t>
      </w:r>
      <w:r w:rsidR="00F10A29">
        <w:rPr>
          <w:rFonts w:ascii="Arial" w:hAnsi="Arial" w:cs="Arial"/>
          <w:i/>
          <w:iCs/>
          <w:vertAlign w:val="superscript"/>
          <w:lang w:val="it-IT"/>
        </w:rPr>
        <w:t>1</w:t>
      </w:r>
      <w:r w:rsidRPr="00F10A29">
        <w:rPr>
          <w:rFonts w:ascii="Arial" w:hAnsi="Arial" w:cs="Arial"/>
          <w:lang w:val="it-IT"/>
        </w:rPr>
        <w:t>, Angelica Oian</w:t>
      </w:r>
      <w:r w:rsidR="00F10A29">
        <w:rPr>
          <w:rFonts w:ascii="Arial" w:hAnsi="Arial" w:cs="Arial"/>
          <w:i/>
          <w:iCs/>
          <w:vertAlign w:val="superscript"/>
          <w:lang w:val="it-IT"/>
        </w:rPr>
        <w:t>1</w:t>
      </w:r>
      <w:r w:rsidRPr="00F10A29">
        <w:rPr>
          <w:rFonts w:ascii="Arial" w:hAnsi="Arial" w:cs="Arial"/>
          <w:lang w:val="it-IT"/>
        </w:rPr>
        <w:t>, Fiorella Sbarra</w:t>
      </w:r>
      <w:r w:rsidR="00F10A29">
        <w:rPr>
          <w:rFonts w:ascii="Arial" w:hAnsi="Arial" w:cs="Arial"/>
          <w:i/>
          <w:iCs/>
          <w:vertAlign w:val="superscript"/>
          <w:lang w:val="it-IT"/>
        </w:rPr>
        <w:t>2</w:t>
      </w:r>
      <w:r w:rsidRPr="00F10A29">
        <w:rPr>
          <w:rFonts w:ascii="Arial" w:hAnsi="Arial" w:cs="Arial"/>
          <w:lang w:val="it-IT"/>
        </w:rPr>
        <w:t>, Daniele Colombi</w:t>
      </w:r>
      <w:r w:rsidR="00F10A29">
        <w:rPr>
          <w:rFonts w:ascii="Arial" w:hAnsi="Arial" w:cs="Arial"/>
          <w:i/>
          <w:iCs/>
          <w:vertAlign w:val="superscript"/>
          <w:lang w:val="it-IT"/>
        </w:rPr>
        <w:t>2</w:t>
      </w:r>
      <w:r w:rsidRPr="00F10A29">
        <w:rPr>
          <w:rFonts w:ascii="Arial" w:hAnsi="Arial" w:cs="Arial"/>
          <w:lang w:val="it-IT"/>
        </w:rPr>
        <w:t>, Andrea Quaglia</w:t>
      </w:r>
      <w:r w:rsidR="00F10A29">
        <w:rPr>
          <w:rFonts w:ascii="Arial" w:hAnsi="Arial" w:cs="Arial"/>
          <w:i/>
          <w:iCs/>
          <w:vertAlign w:val="superscript"/>
          <w:lang w:val="it-IT"/>
        </w:rPr>
        <w:t>2</w:t>
      </w:r>
      <w:r w:rsidRPr="00F10A29">
        <w:rPr>
          <w:rFonts w:ascii="Arial" w:hAnsi="Arial" w:cs="Arial"/>
          <w:lang w:val="it-IT"/>
        </w:rPr>
        <w:t>, Roberto Mantovani</w:t>
      </w:r>
      <w:r w:rsidR="00F10A29">
        <w:rPr>
          <w:rFonts w:ascii="Arial" w:hAnsi="Arial" w:cs="Arial"/>
          <w:i/>
          <w:iCs/>
          <w:vertAlign w:val="superscript"/>
          <w:lang w:val="it-IT"/>
        </w:rPr>
        <w:t>1</w:t>
      </w:r>
      <w:r w:rsidRPr="00F10A29">
        <w:rPr>
          <w:rFonts w:ascii="Arial" w:hAnsi="Arial" w:cs="Arial"/>
          <w:lang w:val="it-IT"/>
        </w:rPr>
        <w:t>, Cristina Sartori</w:t>
      </w:r>
      <w:r w:rsidR="00F10A29">
        <w:rPr>
          <w:rFonts w:ascii="Arial" w:hAnsi="Arial" w:cs="Arial"/>
          <w:i/>
          <w:iCs/>
          <w:vertAlign w:val="superscript"/>
          <w:lang w:val="it-IT"/>
        </w:rPr>
        <w:t>1</w:t>
      </w:r>
    </w:p>
    <w:p w14:paraId="7387B410" w14:textId="47799757" w:rsidR="00C45D58" w:rsidRPr="00C44C4F" w:rsidRDefault="00F10A29" w:rsidP="00C45D58">
      <w:pPr>
        <w:spacing w:line="480" w:lineRule="auto"/>
        <w:rPr>
          <w:rFonts w:ascii="Arial" w:hAnsi="Arial" w:cs="Arial"/>
          <w:i/>
          <w:iCs/>
        </w:rPr>
      </w:pPr>
      <w:r>
        <w:rPr>
          <w:rFonts w:ascii="Arial" w:hAnsi="Arial" w:cs="Arial"/>
          <w:i/>
          <w:iCs/>
          <w:vertAlign w:val="superscript"/>
        </w:rPr>
        <w:t>1</w:t>
      </w:r>
      <w:r w:rsidR="00C45D58" w:rsidRPr="00C44C4F">
        <w:rPr>
          <w:rFonts w:ascii="Arial" w:hAnsi="Arial" w:cs="Arial"/>
          <w:i/>
          <w:iCs/>
        </w:rPr>
        <w:t xml:space="preserve">Department of Agronomy, Food, Natural Resources, Animals and Environment, (DAFNAE), University of Padova, Viale </w:t>
      </w:r>
      <w:proofErr w:type="spellStart"/>
      <w:r w:rsidR="00C45D58" w:rsidRPr="00C44C4F">
        <w:rPr>
          <w:rFonts w:ascii="Arial" w:hAnsi="Arial" w:cs="Arial"/>
          <w:i/>
          <w:iCs/>
        </w:rPr>
        <w:t>dell’Università</w:t>
      </w:r>
      <w:proofErr w:type="spellEnd"/>
      <w:r w:rsidR="00C45D58" w:rsidRPr="00C44C4F">
        <w:rPr>
          <w:rFonts w:ascii="Arial" w:hAnsi="Arial" w:cs="Arial"/>
          <w:i/>
          <w:iCs/>
        </w:rPr>
        <w:t xml:space="preserve"> 16, </w:t>
      </w:r>
      <w:proofErr w:type="spellStart"/>
      <w:r w:rsidR="00C45D58" w:rsidRPr="00C44C4F">
        <w:rPr>
          <w:rFonts w:ascii="Arial" w:hAnsi="Arial" w:cs="Arial"/>
          <w:i/>
          <w:iCs/>
        </w:rPr>
        <w:t>Legnaro</w:t>
      </w:r>
      <w:proofErr w:type="spellEnd"/>
      <w:r w:rsidR="00C45D58" w:rsidRPr="00C44C4F">
        <w:rPr>
          <w:rFonts w:ascii="Arial" w:hAnsi="Arial" w:cs="Arial"/>
          <w:i/>
          <w:iCs/>
        </w:rPr>
        <w:t xml:space="preserve"> (PD), Italy</w:t>
      </w:r>
      <w:r w:rsidR="00C45D58" w:rsidRPr="00C44C4F">
        <w:rPr>
          <w:rFonts w:ascii="Arial" w:hAnsi="Arial" w:cs="Arial"/>
          <w:i/>
          <w:iCs/>
        </w:rPr>
        <w:br/>
      </w:r>
      <w:r>
        <w:rPr>
          <w:rFonts w:ascii="Arial" w:hAnsi="Arial" w:cs="Arial"/>
          <w:i/>
          <w:iCs/>
          <w:vertAlign w:val="superscript"/>
        </w:rPr>
        <w:t>2</w:t>
      </w:r>
      <w:r w:rsidR="00C45D58" w:rsidRPr="00C44C4F">
        <w:rPr>
          <w:rFonts w:ascii="Arial" w:hAnsi="Arial" w:cs="Arial"/>
          <w:i/>
          <w:iCs/>
        </w:rPr>
        <w:t>National Association of Italian Beef-Cattle Breeders (ANABIC), San Martino in Colle (PG), Italy</w:t>
      </w:r>
    </w:p>
    <w:p w14:paraId="3813BA95" w14:textId="77777777" w:rsidR="00C45D58" w:rsidRPr="00C44C4F" w:rsidRDefault="00C45D58" w:rsidP="00C45D58">
      <w:pPr>
        <w:spacing w:line="480" w:lineRule="auto"/>
        <w:rPr>
          <w:rFonts w:ascii="Arial" w:hAnsi="Arial" w:cs="Arial"/>
        </w:rPr>
      </w:pPr>
      <w:r w:rsidRPr="00C44C4F">
        <w:rPr>
          <w:rFonts w:ascii="Arial" w:hAnsi="Arial" w:cs="Arial"/>
        </w:rPr>
        <w:t xml:space="preserve">*Corresponding author: Eugenio Rulli; email: </w:t>
      </w:r>
      <w:hyperlink r:id="rId5" w:history="1">
        <w:r w:rsidRPr="00C44C4F">
          <w:rPr>
            <w:rStyle w:val="Collegamentoipertestuale"/>
            <w:rFonts w:ascii="Arial" w:hAnsi="Arial" w:cs="Arial"/>
          </w:rPr>
          <w:t>eugenio.rulli@studenti.unipd.it</w:t>
        </w:r>
      </w:hyperlink>
      <w:r w:rsidRPr="00C44C4F">
        <w:rPr>
          <w:rFonts w:ascii="Arial" w:hAnsi="Arial" w:cs="Arial"/>
        </w:rPr>
        <w:t xml:space="preserve"> </w:t>
      </w:r>
    </w:p>
    <w:p w14:paraId="601F9646" w14:textId="610FDFD7" w:rsidR="00580EE6" w:rsidRPr="00C44C4F" w:rsidRDefault="00580EE6" w:rsidP="00580EE6">
      <w:pPr>
        <w:spacing w:line="480" w:lineRule="auto"/>
        <w:rPr>
          <w:rFonts w:ascii="Arial" w:hAnsi="Arial" w:cs="Arial"/>
        </w:rPr>
      </w:pPr>
      <w:r w:rsidRPr="00C44C4F">
        <w:rPr>
          <w:rFonts w:ascii="Arial" w:hAnsi="Arial" w:cs="Arial"/>
          <w:b/>
          <w:bCs/>
        </w:rPr>
        <w:t>Supplementary Figure S1.</w:t>
      </w:r>
      <w:r w:rsidRPr="00C44C4F">
        <w:rPr>
          <w:rFonts w:ascii="Arial" w:hAnsi="Arial" w:cs="Arial"/>
        </w:rPr>
        <w:t xml:space="preserve"> </w:t>
      </w:r>
      <w:r w:rsidRPr="00C44C4F">
        <w:rPr>
          <w:rFonts w:ascii="Arial" w:hAnsi="Arial" w:cs="Arial"/>
          <w:b/>
          <w:bCs/>
        </w:rPr>
        <w:t xml:space="preserve">Distribution of SNP density across the genome in the final marker panel. </w:t>
      </w:r>
      <w:r w:rsidRPr="00C44C4F">
        <w:rPr>
          <w:rFonts w:ascii="Arial" w:hAnsi="Arial" w:cs="Arial"/>
        </w:rPr>
        <w:t>SNP density was calculated in 1-Mb genomic bins from the 21,162 SNPs retained after quality control.</w:t>
      </w:r>
      <w:r w:rsidR="00957C69" w:rsidRPr="00C44C4F">
        <w:rPr>
          <w:rFonts w:ascii="Arial" w:hAnsi="Arial" w:cs="Arial"/>
        </w:rPr>
        <w:t xml:space="preserve"> Colours indicate the number of SNPs per 1-Mb bin.</w:t>
      </w:r>
    </w:p>
    <w:p w14:paraId="36D4F7BD" w14:textId="77777777" w:rsidR="00580EE6" w:rsidRPr="00C44C4F" w:rsidRDefault="00580EE6" w:rsidP="00580EE6">
      <w:pPr>
        <w:spacing w:line="480" w:lineRule="auto"/>
        <w:rPr>
          <w:rFonts w:ascii="Arial" w:hAnsi="Arial" w:cs="Arial"/>
        </w:rPr>
      </w:pPr>
      <w:r w:rsidRPr="00C44C4F">
        <w:rPr>
          <w:noProof/>
        </w:rPr>
        <w:drawing>
          <wp:inline distT="0" distB="0" distL="0" distR="0" wp14:anchorId="2330CE40" wp14:editId="226536C2">
            <wp:extent cx="5731510" cy="3439160"/>
            <wp:effectExtent l="0" t="0" r="2540" b="8890"/>
            <wp:docPr id="18567367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439160"/>
                    </a:xfrm>
                    <a:prstGeom prst="rect">
                      <a:avLst/>
                    </a:prstGeom>
                    <a:noFill/>
                    <a:ln>
                      <a:noFill/>
                    </a:ln>
                  </pic:spPr>
                </pic:pic>
              </a:graphicData>
            </a:graphic>
          </wp:inline>
        </w:drawing>
      </w:r>
    </w:p>
    <w:p w14:paraId="4B5048C1" w14:textId="60F7F2A0" w:rsidR="00B64B59" w:rsidRPr="00C44C4F" w:rsidRDefault="008F4632" w:rsidP="003746E4">
      <w:pPr>
        <w:spacing w:line="480" w:lineRule="auto"/>
        <w:jc w:val="both"/>
        <w:rPr>
          <w:rFonts w:ascii="Arial" w:hAnsi="Arial" w:cs="Arial"/>
        </w:rPr>
      </w:pPr>
      <w:r w:rsidRPr="00C44C4F">
        <w:rPr>
          <w:rFonts w:ascii="Arial" w:hAnsi="Arial" w:cs="Arial"/>
          <w:b/>
          <w:bCs/>
        </w:rPr>
        <w:lastRenderedPageBreak/>
        <w:t>Supplementary Table S1. Comparison of alternative postpartum windows used to define the adjusted temperature-humidity index (THI</w:t>
      </w:r>
      <w:r w:rsidRPr="00C44C4F">
        <w:rPr>
          <w:rFonts w:ascii="Arial" w:hAnsi="Arial" w:cs="Arial"/>
          <w:b/>
          <w:bCs/>
          <w:vertAlign w:val="subscript"/>
        </w:rPr>
        <w:t>adj</w:t>
      </w:r>
      <w:r w:rsidRPr="00C44C4F">
        <w:rPr>
          <w:rFonts w:ascii="Arial" w:hAnsi="Arial" w:cs="Arial"/>
          <w:b/>
          <w:bCs/>
        </w:rPr>
        <w:t>) environmental covariate.</w:t>
      </w:r>
      <w:r w:rsidRPr="00C44C4F">
        <w:rPr>
          <w:rFonts w:ascii="Arial" w:hAnsi="Arial" w:cs="Arial"/>
        </w:rPr>
        <w:t xml:space="preserve"> DP20, DP30, DP40, and DP60 refer to mean THI</w:t>
      </w:r>
      <w:r w:rsidRPr="00C44C4F">
        <w:rPr>
          <w:rFonts w:ascii="Arial" w:hAnsi="Arial" w:cs="Arial"/>
          <w:vertAlign w:val="subscript"/>
        </w:rPr>
        <w:t>adj</w:t>
      </w:r>
      <w:r w:rsidRPr="00C44C4F">
        <w:rPr>
          <w:rFonts w:ascii="Arial" w:hAnsi="Arial" w:cs="Arial"/>
        </w:rPr>
        <w:t xml:space="preserve"> calculated over the first 20, 30, 40, and 60 days after calving, respectively. Estimates and standard errors represent the change in calving interval (days) associated with a one-standard-deviation increase in THI</w:t>
      </w:r>
      <w:r w:rsidRPr="00C44C4F">
        <w:rPr>
          <w:rFonts w:ascii="Arial" w:hAnsi="Arial" w:cs="Arial"/>
          <w:vertAlign w:val="subscript"/>
        </w:rPr>
        <w:t>adj</w:t>
      </w:r>
      <w:r w:rsidRPr="00C44C4F">
        <w:rPr>
          <w:rFonts w:ascii="Arial" w:hAnsi="Arial" w:cs="Arial"/>
        </w:rPr>
        <w:t>. ΔAIC was calculated relative to the model with the lowest AIC</w:t>
      </w:r>
      <w:r w:rsidR="000B010F" w:rsidRPr="00C44C4F">
        <w:rPr>
          <w:rFonts w:ascii="Arial" w:hAnsi="Arial" w:cs="Arial"/>
        </w:rPr>
        <w:t xml:space="preserve"> (DP20)</w:t>
      </w:r>
      <w:r w:rsidRPr="00C44C4F">
        <w:rPr>
          <w:rFonts w:ascii="Arial" w:hAnsi="Arial" w:cs="Arial"/>
        </w:rPr>
        <w:t>.</w:t>
      </w:r>
    </w:p>
    <w:tbl>
      <w:tblPr>
        <w:tblStyle w:val="Grigliatabella"/>
        <w:tblW w:w="0" w:type="auto"/>
        <w:jc w:val="center"/>
        <w:tblLook w:val="0420" w:firstRow="1" w:lastRow="0" w:firstColumn="0" w:lastColumn="0" w:noHBand="0" w:noVBand="1"/>
      </w:tblPr>
      <w:tblGrid>
        <w:gridCol w:w="1141"/>
        <w:gridCol w:w="1855"/>
        <w:gridCol w:w="1288"/>
        <w:gridCol w:w="943"/>
        <w:gridCol w:w="1266"/>
        <w:gridCol w:w="865"/>
      </w:tblGrid>
      <w:tr w:rsidR="008F4632" w:rsidRPr="00C44C4F" w14:paraId="16D361A2" w14:textId="77777777" w:rsidTr="008F4632">
        <w:trPr>
          <w:jc w:val="center"/>
        </w:trPr>
        <w:tc>
          <w:tcPr>
            <w:tcW w:w="0" w:type="auto"/>
          </w:tcPr>
          <w:p w14:paraId="5136D7C9"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rPr>
                <w:rFonts w:ascii="Arial" w:eastAsia="Times New Roman" w:hAnsi="Arial" w:cs="Arial"/>
                <w:b/>
                <w:color w:val="000000"/>
                <w:sz w:val="20"/>
                <w:szCs w:val="20"/>
              </w:rPr>
            </w:pPr>
            <w:r w:rsidRPr="00C44C4F">
              <w:rPr>
                <w:rFonts w:ascii="Arial" w:eastAsia="Times New Roman" w:hAnsi="Arial" w:cs="Arial"/>
                <w:b/>
                <w:color w:val="000000"/>
                <w:sz w:val="20"/>
                <w:szCs w:val="20"/>
              </w:rPr>
              <w:t>Window</w:t>
            </w:r>
          </w:p>
        </w:tc>
        <w:tc>
          <w:tcPr>
            <w:tcW w:w="0" w:type="auto"/>
          </w:tcPr>
          <w:p w14:paraId="40011A4D"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b/>
                <w:color w:val="000000"/>
                <w:sz w:val="20"/>
                <w:szCs w:val="20"/>
              </w:rPr>
            </w:pPr>
            <w:r w:rsidRPr="00C44C4F">
              <w:rPr>
                <w:rFonts w:ascii="Arial" w:eastAsia="Times New Roman" w:hAnsi="Arial" w:cs="Arial"/>
                <w:b/>
                <w:color w:val="000000"/>
                <w:sz w:val="20"/>
                <w:szCs w:val="20"/>
              </w:rPr>
              <w:t>Estimate (d/SD)</w:t>
            </w:r>
          </w:p>
        </w:tc>
        <w:tc>
          <w:tcPr>
            <w:tcW w:w="0" w:type="auto"/>
          </w:tcPr>
          <w:p w14:paraId="055AE57A"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b/>
                <w:color w:val="000000"/>
                <w:sz w:val="20"/>
                <w:szCs w:val="20"/>
              </w:rPr>
            </w:pPr>
            <w:r w:rsidRPr="00C44C4F">
              <w:rPr>
                <w:rFonts w:ascii="Arial" w:eastAsia="Times New Roman" w:hAnsi="Arial" w:cs="Arial"/>
                <w:b/>
                <w:color w:val="000000"/>
                <w:sz w:val="20"/>
                <w:szCs w:val="20"/>
              </w:rPr>
              <w:t>SE (d/SD)</w:t>
            </w:r>
          </w:p>
        </w:tc>
        <w:tc>
          <w:tcPr>
            <w:tcW w:w="0" w:type="auto"/>
          </w:tcPr>
          <w:p w14:paraId="0B222335"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b/>
                <w:color w:val="000000"/>
                <w:sz w:val="20"/>
                <w:szCs w:val="20"/>
              </w:rPr>
            </w:pPr>
            <w:r w:rsidRPr="00C44C4F">
              <w:rPr>
                <w:rFonts w:ascii="Arial" w:eastAsia="Times New Roman" w:hAnsi="Arial" w:cs="Arial"/>
                <w:b/>
                <w:color w:val="000000"/>
                <w:sz w:val="20"/>
                <w:szCs w:val="20"/>
              </w:rPr>
              <w:t>t-ratio</w:t>
            </w:r>
          </w:p>
        </w:tc>
        <w:tc>
          <w:tcPr>
            <w:tcW w:w="0" w:type="auto"/>
          </w:tcPr>
          <w:p w14:paraId="37AD7056"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b/>
                <w:color w:val="000000"/>
                <w:sz w:val="20"/>
                <w:szCs w:val="20"/>
              </w:rPr>
            </w:pPr>
            <w:r w:rsidRPr="00C44C4F">
              <w:rPr>
                <w:rFonts w:ascii="Arial" w:eastAsia="Times New Roman" w:hAnsi="Arial" w:cs="Arial"/>
                <w:b/>
                <w:color w:val="000000"/>
                <w:sz w:val="20"/>
                <w:szCs w:val="20"/>
              </w:rPr>
              <w:t>AIC</w:t>
            </w:r>
          </w:p>
        </w:tc>
        <w:tc>
          <w:tcPr>
            <w:tcW w:w="0" w:type="auto"/>
          </w:tcPr>
          <w:p w14:paraId="13BB630B"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b/>
                <w:color w:val="000000"/>
                <w:sz w:val="20"/>
                <w:szCs w:val="20"/>
              </w:rPr>
            </w:pPr>
            <w:r w:rsidRPr="00C44C4F">
              <w:rPr>
                <w:rFonts w:ascii="Arial" w:eastAsia="Times New Roman" w:hAnsi="Arial" w:cs="Arial"/>
                <w:b/>
                <w:color w:val="000000"/>
                <w:sz w:val="20"/>
                <w:szCs w:val="20"/>
              </w:rPr>
              <w:t>ΔAIC</w:t>
            </w:r>
          </w:p>
        </w:tc>
      </w:tr>
      <w:tr w:rsidR="008F4632" w:rsidRPr="00C44C4F" w14:paraId="31A0CDB9" w14:textId="77777777" w:rsidTr="008F4632">
        <w:trPr>
          <w:jc w:val="center"/>
        </w:trPr>
        <w:tc>
          <w:tcPr>
            <w:tcW w:w="0" w:type="auto"/>
          </w:tcPr>
          <w:p w14:paraId="46554603"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rPr>
                <w:rFonts w:ascii="Arial" w:eastAsia="Times New Roman" w:hAnsi="Arial" w:cs="Arial"/>
                <w:color w:val="000000"/>
                <w:sz w:val="20"/>
                <w:szCs w:val="20"/>
              </w:rPr>
            </w:pPr>
            <w:r w:rsidRPr="00C44C4F">
              <w:rPr>
                <w:rFonts w:ascii="Arial" w:eastAsia="Times New Roman" w:hAnsi="Arial" w:cs="Arial"/>
                <w:color w:val="000000"/>
                <w:sz w:val="20"/>
                <w:szCs w:val="20"/>
              </w:rPr>
              <w:t>DP20</w:t>
            </w:r>
          </w:p>
        </w:tc>
        <w:tc>
          <w:tcPr>
            <w:tcW w:w="0" w:type="auto"/>
          </w:tcPr>
          <w:p w14:paraId="506BC9D7"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5.662</w:t>
            </w:r>
          </w:p>
        </w:tc>
        <w:tc>
          <w:tcPr>
            <w:tcW w:w="0" w:type="auto"/>
          </w:tcPr>
          <w:p w14:paraId="522B1465"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0.928</w:t>
            </w:r>
          </w:p>
        </w:tc>
        <w:tc>
          <w:tcPr>
            <w:tcW w:w="0" w:type="auto"/>
          </w:tcPr>
          <w:p w14:paraId="59BA57FB"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6.099</w:t>
            </w:r>
          </w:p>
        </w:tc>
        <w:tc>
          <w:tcPr>
            <w:tcW w:w="0" w:type="auto"/>
          </w:tcPr>
          <w:p w14:paraId="5CCE2A99"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916,178.9</w:t>
            </w:r>
          </w:p>
        </w:tc>
        <w:tc>
          <w:tcPr>
            <w:tcW w:w="0" w:type="auto"/>
          </w:tcPr>
          <w:p w14:paraId="6C45176E"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0.0</w:t>
            </w:r>
          </w:p>
        </w:tc>
      </w:tr>
      <w:tr w:rsidR="008F4632" w:rsidRPr="00C44C4F" w14:paraId="212784C9" w14:textId="77777777" w:rsidTr="008F4632">
        <w:trPr>
          <w:jc w:val="center"/>
        </w:trPr>
        <w:tc>
          <w:tcPr>
            <w:tcW w:w="0" w:type="auto"/>
          </w:tcPr>
          <w:p w14:paraId="0101084E"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rPr>
                <w:rFonts w:ascii="Arial" w:eastAsia="Times New Roman" w:hAnsi="Arial" w:cs="Arial"/>
                <w:color w:val="000000"/>
                <w:sz w:val="20"/>
                <w:szCs w:val="20"/>
              </w:rPr>
            </w:pPr>
            <w:r w:rsidRPr="00C44C4F">
              <w:rPr>
                <w:rFonts w:ascii="Arial" w:eastAsia="Times New Roman" w:hAnsi="Arial" w:cs="Arial"/>
                <w:color w:val="000000"/>
                <w:sz w:val="20"/>
                <w:szCs w:val="20"/>
              </w:rPr>
              <w:t>DP30</w:t>
            </w:r>
          </w:p>
        </w:tc>
        <w:tc>
          <w:tcPr>
            <w:tcW w:w="0" w:type="auto"/>
          </w:tcPr>
          <w:p w14:paraId="1FA84080"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5.220</w:t>
            </w:r>
          </w:p>
        </w:tc>
        <w:tc>
          <w:tcPr>
            <w:tcW w:w="0" w:type="auto"/>
          </w:tcPr>
          <w:p w14:paraId="14BF2FC4"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0.927</w:t>
            </w:r>
          </w:p>
        </w:tc>
        <w:tc>
          <w:tcPr>
            <w:tcW w:w="0" w:type="auto"/>
          </w:tcPr>
          <w:p w14:paraId="05983934"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5.630</w:t>
            </w:r>
          </w:p>
        </w:tc>
        <w:tc>
          <w:tcPr>
            <w:tcW w:w="0" w:type="auto"/>
          </w:tcPr>
          <w:p w14:paraId="3BD72432"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916,213.2</w:t>
            </w:r>
          </w:p>
        </w:tc>
        <w:tc>
          <w:tcPr>
            <w:tcW w:w="0" w:type="auto"/>
          </w:tcPr>
          <w:p w14:paraId="47945902"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34.3</w:t>
            </w:r>
          </w:p>
        </w:tc>
      </w:tr>
      <w:tr w:rsidR="008F4632" w:rsidRPr="00C44C4F" w14:paraId="535724D7" w14:textId="77777777" w:rsidTr="008F4632">
        <w:trPr>
          <w:jc w:val="center"/>
        </w:trPr>
        <w:tc>
          <w:tcPr>
            <w:tcW w:w="0" w:type="auto"/>
          </w:tcPr>
          <w:p w14:paraId="041DCB72"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rPr>
                <w:rFonts w:ascii="Arial" w:eastAsia="Times New Roman" w:hAnsi="Arial" w:cs="Arial"/>
                <w:color w:val="000000"/>
                <w:sz w:val="20"/>
                <w:szCs w:val="20"/>
              </w:rPr>
            </w:pPr>
            <w:r w:rsidRPr="00C44C4F">
              <w:rPr>
                <w:rFonts w:ascii="Arial" w:eastAsia="Times New Roman" w:hAnsi="Arial" w:cs="Arial"/>
                <w:color w:val="000000"/>
                <w:sz w:val="20"/>
                <w:szCs w:val="20"/>
              </w:rPr>
              <w:t>DP40</w:t>
            </w:r>
          </w:p>
        </w:tc>
        <w:tc>
          <w:tcPr>
            <w:tcW w:w="0" w:type="auto"/>
          </w:tcPr>
          <w:p w14:paraId="06127F47"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4.582</w:t>
            </w:r>
          </w:p>
        </w:tc>
        <w:tc>
          <w:tcPr>
            <w:tcW w:w="0" w:type="auto"/>
          </w:tcPr>
          <w:p w14:paraId="0EA97660"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0.924</w:t>
            </w:r>
          </w:p>
        </w:tc>
        <w:tc>
          <w:tcPr>
            <w:tcW w:w="0" w:type="auto"/>
          </w:tcPr>
          <w:p w14:paraId="162F0177"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4.959</w:t>
            </w:r>
          </w:p>
        </w:tc>
        <w:tc>
          <w:tcPr>
            <w:tcW w:w="0" w:type="auto"/>
          </w:tcPr>
          <w:p w14:paraId="2457FBBD"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916,220.3</w:t>
            </w:r>
          </w:p>
        </w:tc>
        <w:tc>
          <w:tcPr>
            <w:tcW w:w="0" w:type="auto"/>
          </w:tcPr>
          <w:p w14:paraId="5E613C67"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41.4</w:t>
            </w:r>
          </w:p>
        </w:tc>
      </w:tr>
      <w:tr w:rsidR="008F4632" w:rsidRPr="00C44C4F" w14:paraId="3F60C9D4" w14:textId="77777777" w:rsidTr="008F4632">
        <w:trPr>
          <w:jc w:val="center"/>
        </w:trPr>
        <w:tc>
          <w:tcPr>
            <w:tcW w:w="0" w:type="auto"/>
          </w:tcPr>
          <w:p w14:paraId="512D3BBF"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rPr>
                <w:rFonts w:ascii="Arial" w:eastAsia="Times New Roman" w:hAnsi="Arial" w:cs="Arial"/>
                <w:color w:val="000000"/>
                <w:sz w:val="20"/>
                <w:szCs w:val="20"/>
              </w:rPr>
            </w:pPr>
            <w:r w:rsidRPr="00C44C4F">
              <w:rPr>
                <w:rFonts w:ascii="Arial" w:eastAsia="Times New Roman" w:hAnsi="Arial" w:cs="Arial"/>
                <w:color w:val="000000"/>
                <w:sz w:val="20"/>
                <w:szCs w:val="20"/>
              </w:rPr>
              <w:t>DP60</w:t>
            </w:r>
          </w:p>
        </w:tc>
        <w:tc>
          <w:tcPr>
            <w:tcW w:w="0" w:type="auto"/>
          </w:tcPr>
          <w:p w14:paraId="4F5A00F4"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3.022</w:t>
            </w:r>
          </w:p>
        </w:tc>
        <w:tc>
          <w:tcPr>
            <w:tcW w:w="0" w:type="auto"/>
          </w:tcPr>
          <w:p w14:paraId="4AE36010"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0.917</w:t>
            </w:r>
          </w:p>
        </w:tc>
        <w:tc>
          <w:tcPr>
            <w:tcW w:w="0" w:type="auto"/>
          </w:tcPr>
          <w:p w14:paraId="0FE93456"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3.298</w:t>
            </w:r>
          </w:p>
        </w:tc>
        <w:tc>
          <w:tcPr>
            <w:tcW w:w="0" w:type="auto"/>
          </w:tcPr>
          <w:p w14:paraId="008977A6"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916,234.0</w:t>
            </w:r>
          </w:p>
        </w:tc>
        <w:tc>
          <w:tcPr>
            <w:tcW w:w="0" w:type="auto"/>
          </w:tcPr>
          <w:p w14:paraId="34BFDBD2" w14:textId="77777777" w:rsidR="008F4632" w:rsidRPr="00C44C4F" w:rsidRDefault="008F4632" w:rsidP="004E5E6A">
            <w:pPr>
              <w:pBdr>
                <w:top w:val="none" w:sz="0" w:space="0" w:color="000000"/>
                <w:left w:val="none" w:sz="0" w:space="0" w:color="000000"/>
                <w:bottom w:val="none" w:sz="0" w:space="0" w:color="000000"/>
                <w:right w:val="none" w:sz="0" w:space="0" w:color="000000"/>
              </w:pBdr>
              <w:spacing w:before="60" w:after="60"/>
              <w:ind w:left="80" w:right="80"/>
              <w:jc w:val="center"/>
              <w:rPr>
                <w:rFonts w:ascii="Arial" w:eastAsia="Times New Roman" w:hAnsi="Arial" w:cs="Arial"/>
                <w:color w:val="000000"/>
                <w:sz w:val="20"/>
                <w:szCs w:val="20"/>
              </w:rPr>
            </w:pPr>
            <w:r w:rsidRPr="00C44C4F">
              <w:rPr>
                <w:rFonts w:ascii="Arial" w:eastAsia="Times New Roman" w:hAnsi="Arial" w:cs="Arial"/>
                <w:color w:val="000000"/>
                <w:sz w:val="20"/>
                <w:szCs w:val="20"/>
              </w:rPr>
              <w:t>55.1</w:t>
            </w:r>
          </w:p>
        </w:tc>
      </w:tr>
    </w:tbl>
    <w:p w14:paraId="6A106200" w14:textId="77777777" w:rsidR="008F4632" w:rsidRPr="00C44C4F" w:rsidRDefault="008F4632" w:rsidP="008F4632">
      <w:pPr>
        <w:spacing w:line="480" w:lineRule="auto"/>
        <w:rPr>
          <w:rFonts w:ascii="Arial" w:hAnsi="Arial" w:cs="Arial"/>
        </w:rPr>
      </w:pPr>
    </w:p>
    <w:p w14:paraId="31A42030" w14:textId="77777777" w:rsidR="00957C69" w:rsidRPr="00C44C4F" w:rsidRDefault="00957C69">
      <w:pPr>
        <w:spacing w:line="480" w:lineRule="auto"/>
        <w:rPr>
          <w:rFonts w:ascii="Arial" w:hAnsi="Arial" w:cs="Arial"/>
          <w:b/>
          <w:bCs/>
        </w:rPr>
      </w:pPr>
    </w:p>
    <w:p w14:paraId="5C613180" w14:textId="77777777" w:rsidR="00957C69" w:rsidRPr="00C44C4F" w:rsidRDefault="00957C69">
      <w:pPr>
        <w:spacing w:line="480" w:lineRule="auto"/>
        <w:rPr>
          <w:rFonts w:ascii="Arial" w:hAnsi="Arial" w:cs="Arial"/>
          <w:b/>
          <w:bCs/>
        </w:rPr>
      </w:pPr>
    </w:p>
    <w:p w14:paraId="253EF01D" w14:textId="77777777" w:rsidR="00957C69" w:rsidRPr="00C44C4F" w:rsidRDefault="00957C69">
      <w:pPr>
        <w:spacing w:line="480" w:lineRule="auto"/>
        <w:rPr>
          <w:rFonts w:ascii="Arial" w:hAnsi="Arial" w:cs="Arial"/>
          <w:b/>
          <w:bCs/>
        </w:rPr>
      </w:pPr>
    </w:p>
    <w:p w14:paraId="626436CF" w14:textId="77777777" w:rsidR="00957C69" w:rsidRPr="00C44C4F" w:rsidRDefault="00957C69">
      <w:pPr>
        <w:spacing w:line="480" w:lineRule="auto"/>
        <w:rPr>
          <w:rFonts w:ascii="Arial" w:hAnsi="Arial" w:cs="Arial"/>
          <w:b/>
          <w:bCs/>
        </w:rPr>
      </w:pPr>
    </w:p>
    <w:p w14:paraId="51347D28" w14:textId="77777777" w:rsidR="00957C69" w:rsidRPr="00C44C4F" w:rsidRDefault="00957C69">
      <w:pPr>
        <w:spacing w:line="480" w:lineRule="auto"/>
        <w:rPr>
          <w:rFonts w:ascii="Arial" w:hAnsi="Arial" w:cs="Arial"/>
          <w:b/>
          <w:bCs/>
        </w:rPr>
      </w:pPr>
    </w:p>
    <w:p w14:paraId="0DDE5708" w14:textId="77777777" w:rsidR="00957C69" w:rsidRPr="00C44C4F" w:rsidRDefault="00957C69">
      <w:pPr>
        <w:spacing w:line="480" w:lineRule="auto"/>
        <w:rPr>
          <w:rFonts w:ascii="Arial" w:hAnsi="Arial" w:cs="Arial"/>
          <w:b/>
          <w:bCs/>
        </w:rPr>
      </w:pPr>
    </w:p>
    <w:p w14:paraId="6668D647" w14:textId="77777777" w:rsidR="00957C69" w:rsidRPr="00C44C4F" w:rsidRDefault="00957C69">
      <w:pPr>
        <w:spacing w:line="480" w:lineRule="auto"/>
        <w:rPr>
          <w:rFonts w:ascii="Arial" w:hAnsi="Arial" w:cs="Arial"/>
          <w:b/>
          <w:bCs/>
        </w:rPr>
      </w:pPr>
    </w:p>
    <w:p w14:paraId="283F1703" w14:textId="77777777" w:rsidR="00957C69" w:rsidRPr="00C44C4F" w:rsidRDefault="00957C69">
      <w:pPr>
        <w:spacing w:line="480" w:lineRule="auto"/>
        <w:rPr>
          <w:rFonts w:ascii="Arial" w:hAnsi="Arial" w:cs="Arial"/>
          <w:b/>
          <w:bCs/>
        </w:rPr>
      </w:pPr>
    </w:p>
    <w:p w14:paraId="27B05888" w14:textId="77777777" w:rsidR="00957C69" w:rsidRPr="00C44C4F" w:rsidRDefault="00957C69">
      <w:pPr>
        <w:spacing w:line="480" w:lineRule="auto"/>
        <w:rPr>
          <w:rFonts w:ascii="Arial" w:hAnsi="Arial" w:cs="Arial"/>
          <w:b/>
          <w:bCs/>
        </w:rPr>
      </w:pPr>
    </w:p>
    <w:p w14:paraId="2B851C0C" w14:textId="77777777" w:rsidR="00957C69" w:rsidRPr="00C44C4F" w:rsidRDefault="00957C69">
      <w:pPr>
        <w:spacing w:line="480" w:lineRule="auto"/>
        <w:rPr>
          <w:rFonts w:ascii="Arial" w:hAnsi="Arial" w:cs="Arial"/>
          <w:b/>
          <w:bCs/>
        </w:rPr>
      </w:pPr>
    </w:p>
    <w:p w14:paraId="31BAB333" w14:textId="5D7DB518" w:rsidR="00FE38D8" w:rsidRPr="00C44C4F" w:rsidRDefault="00FE38D8" w:rsidP="00E24F7E">
      <w:pPr>
        <w:spacing w:line="480" w:lineRule="auto"/>
        <w:jc w:val="both"/>
        <w:rPr>
          <w:rFonts w:ascii="Arial" w:hAnsi="Arial" w:cs="Arial"/>
          <w:b/>
          <w:bCs/>
        </w:rPr>
      </w:pPr>
      <w:r w:rsidRPr="00C44C4F">
        <w:rPr>
          <w:rFonts w:ascii="Arial" w:hAnsi="Arial" w:cs="Arial"/>
          <w:b/>
          <w:bCs/>
        </w:rPr>
        <w:lastRenderedPageBreak/>
        <w:t xml:space="preserve">Supplementary Figure S2. Distribution of overlapping QTLdb records among QTL categories within candidate genomic regions. </w:t>
      </w:r>
      <w:r w:rsidRPr="00C44C4F">
        <w:rPr>
          <w:rFonts w:ascii="Arial" w:hAnsi="Arial" w:cs="Arial"/>
        </w:rPr>
        <w:t>Pie charts are shown for (a) Mb1 intercept, (b) Mb1 slope, (c) SNP20 intercept, and (d) SNP20 slope. Percentages represent the proportion of QTLdb records assigned to each QTL category within each analysis</w:t>
      </w:r>
      <w:r w:rsidR="00E24F7E" w:rsidRPr="00C44C4F">
        <w:rPr>
          <w:rFonts w:ascii="Arial" w:hAnsi="Arial" w:cs="Arial"/>
        </w:rPr>
        <w:t>.</w:t>
      </w:r>
      <w:r w:rsidRPr="00C44C4F">
        <w:rPr>
          <w:rFonts w:ascii="Arial" w:hAnsi="Arial" w:cs="Arial"/>
        </w:rPr>
        <w:t xml:space="preserve"> </w:t>
      </w:r>
      <w:r w:rsidR="00E24F7E" w:rsidRPr="00C44C4F">
        <w:rPr>
          <w:rFonts w:ascii="Arial" w:hAnsi="Arial" w:cs="Arial"/>
        </w:rPr>
        <w:t>P</w:t>
      </w:r>
      <w:r w:rsidRPr="00C44C4F">
        <w:rPr>
          <w:rFonts w:ascii="Arial" w:hAnsi="Arial" w:cs="Arial"/>
        </w:rPr>
        <w:t>ercentages below 1% are not labelled.</w:t>
      </w:r>
    </w:p>
    <w:p w14:paraId="73FF0234" w14:textId="05EAD1D1" w:rsidR="00FE38D8" w:rsidRPr="004A1299" w:rsidRDefault="00FE38D8" w:rsidP="00FE38D8">
      <w:pPr>
        <w:spacing w:line="480" w:lineRule="auto"/>
        <w:jc w:val="center"/>
        <w:rPr>
          <w:rFonts w:ascii="Arial" w:hAnsi="Arial" w:cs="Arial"/>
        </w:rPr>
      </w:pPr>
      <w:r w:rsidRPr="00C44C4F">
        <w:rPr>
          <w:noProof/>
        </w:rPr>
        <w:drawing>
          <wp:inline distT="0" distB="0" distL="0" distR="0" wp14:anchorId="7DBB5356" wp14:editId="1621B5A7">
            <wp:extent cx="5512279" cy="3892062"/>
            <wp:effectExtent l="0" t="0" r="0" b="0"/>
            <wp:docPr id="150675097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6184" cy="3894819"/>
                    </a:xfrm>
                    <a:prstGeom prst="rect">
                      <a:avLst/>
                    </a:prstGeom>
                    <a:noFill/>
                    <a:ln>
                      <a:noFill/>
                    </a:ln>
                  </pic:spPr>
                </pic:pic>
              </a:graphicData>
            </a:graphic>
          </wp:inline>
        </w:drawing>
      </w:r>
    </w:p>
    <w:sectPr w:rsidR="00FE38D8" w:rsidRPr="004A1299" w:rsidSect="008F4632">
      <w:pgSz w:w="11906" w:h="16838"/>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EAB"/>
    <w:rsid w:val="00034EAB"/>
    <w:rsid w:val="000B010F"/>
    <w:rsid w:val="001A3FFE"/>
    <w:rsid w:val="00221448"/>
    <w:rsid w:val="00245061"/>
    <w:rsid w:val="002614A7"/>
    <w:rsid w:val="003746E4"/>
    <w:rsid w:val="00476D1B"/>
    <w:rsid w:val="004810D7"/>
    <w:rsid w:val="004A1299"/>
    <w:rsid w:val="004B7B01"/>
    <w:rsid w:val="004E7AD7"/>
    <w:rsid w:val="00580EE6"/>
    <w:rsid w:val="00585BE2"/>
    <w:rsid w:val="006B4BD4"/>
    <w:rsid w:val="006D0369"/>
    <w:rsid w:val="008F4632"/>
    <w:rsid w:val="00957C69"/>
    <w:rsid w:val="00B64B59"/>
    <w:rsid w:val="00B720FD"/>
    <w:rsid w:val="00C44C4F"/>
    <w:rsid w:val="00C45D58"/>
    <w:rsid w:val="00C8641D"/>
    <w:rsid w:val="00D53578"/>
    <w:rsid w:val="00E24F7E"/>
    <w:rsid w:val="00E70192"/>
    <w:rsid w:val="00F10A29"/>
    <w:rsid w:val="00F16EB2"/>
    <w:rsid w:val="00FE38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528F"/>
  <w15:chartTrackingRefBased/>
  <w15:docId w15:val="{1B2E3F66-62D4-4B80-AED9-D31B8E46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paragraph" w:styleId="Titolo1">
    <w:name w:val="heading 1"/>
    <w:basedOn w:val="Normale"/>
    <w:next w:val="Normale"/>
    <w:link w:val="Titolo1Carattere"/>
    <w:uiPriority w:val="9"/>
    <w:qFormat/>
    <w:rsid w:val="00034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34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34EA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34EA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34EA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34EA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34EA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34EA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34EA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4EA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34EA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34EA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34EA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34EA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34EA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34EA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34EA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34EAB"/>
    <w:rPr>
      <w:rFonts w:eastAsiaTheme="majorEastAsia" w:cstheme="majorBidi"/>
      <w:color w:val="272727" w:themeColor="text1" w:themeTint="D8"/>
    </w:rPr>
  </w:style>
  <w:style w:type="paragraph" w:styleId="Titolo">
    <w:name w:val="Title"/>
    <w:basedOn w:val="Normale"/>
    <w:next w:val="Normale"/>
    <w:link w:val="TitoloCarattere"/>
    <w:uiPriority w:val="10"/>
    <w:qFormat/>
    <w:rsid w:val="00034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34EA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34EA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34EA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34EA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34EAB"/>
    <w:rPr>
      <w:i/>
      <w:iCs/>
      <w:color w:val="404040" w:themeColor="text1" w:themeTint="BF"/>
    </w:rPr>
  </w:style>
  <w:style w:type="paragraph" w:styleId="Paragrafoelenco">
    <w:name w:val="List Paragraph"/>
    <w:basedOn w:val="Normale"/>
    <w:uiPriority w:val="34"/>
    <w:qFormat/>
    <w:rsid w:val="00034EAB"/>
    <w:pPr>
      <w:ind w:left="720"/>
      <w:contextualSpacing/>
    </w:pPr>
  </w:style>
  <w:style w:type="character" w:styleId="Enfasiintensa">
    <w:name w:val="Intense Emphasis"/>
    <w:basedOn w:val="Carpredefinitoparagrafo"/>
    <w:uiPriority w:val="21"/>
    <w:qFormat/>
    <w:rsid w:val="00034EAB"/>
    <w:rPr>
      <w:i/>
      <w:iCs/>
      <w:color w:val="0F4761" w:themeColor="accent1" w:themeShade="BF"/>
    </w:rPr>
  </w:style>
  <w:style w:type="paragraph" w:styleId="Citazioneintensa">
    <w:name w:val="Intense Quote"/>
    <w:basedOn w:val="Normale"/>
    <w:next w:val="Normale"/>
    <w:link w:val="CitazioneintensaCarattere"/>
    <w:uiPriority w:val="30"/>
    <w:qFormat/>
    <w:rsid w:val="00034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34EAB"/>
    <w:rPr>
      <w:i/>
      <w:iCs/>
      <w:color w:val="0F4761" w:themeColor="accent1" w:themeShade="BF"/>
    </w:rPr>
  </w:style>
  <w:style w:type="character" w:styleId="Riferimentointenso">
    <w:name w:val="Intense Reference"/>
    <w:basedOn w:val="Carpredefinitoparagrafo"/>
    <w:uiPriority w:val="32"/>
    <w:qFormat/>
    <w:rsid w:val="00034EAB"/>
    <w:rPr>
      <w:b/>
      <w:bCs/>
      <w:smallCaps/>
      <w:color w:val="0F4761" w:themeColor="accent1" w:themeShade="BF"/>
      <w:spacing w:val="5"/>
    </w:rPr>
  </w:style>
  <w:style w:type="character" w:styleId="Numeroriga">
    <w:name w:val="line number"/>
    <w:basedOn w:val="Carpredefinitoparagrafo"/>
    <w:uiPriority w:val="99"/>
    <w:semiHidden/>
    <w:unhideWhenUsed/>
    <w:rsid w:val="008F4632"/>
  </w:style>
  <w:style w:type="table" w:styleId="Grigliatabella">
    <w:name w:val="Table Grid"/>
    <w:basedOn w:val="Tabellanormale"/>
    <w:uiPriority w:val="39"/>
    <w:rsid w:val="008F4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C45D58"/>
    <w:rPr>
      <w:color w:val="467886" w:themeColor="hyperlink"/>
      <w:u w:val="single"/>
    </w:rPr>
  </w:style>
  <w:style w:type="character" w:styleId="Menzionenonrisolta">
    <w:name w:val="Unresolved Mention"/>
    <w:basedOn w:val="Carpredefinitoparagrafo"/>
    <w:uiPriority w:val="99"/>
    <w:semiHidden/>
    <w:unhideWhenUsed/>
    <w:rsid w:val="00C45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hyperlink" Target="mailto:eugenio.rulli@studenti.unipd.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BA03B-C76C-4B35-B248-54D106A84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295</Words>
  <Characters>1682</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 Rulli</dc:creator>
  <cp:keywords/>
  <dc:description/>
  <cp:lastModifiedBy>Eugenio Rulli</cp:lastModifiedBy>
  <cp:revision>18</cp:revision>
  <dcterms:created xsi:type="dcterms:W3CDTF">2026-08-12T10:40:00Z</dcterms:created>
  <dcterms:modified xsi:type="dcterms:W3CDTF">2026-09-08T11:18:00Z</dcterms:modified>
</cp:coreProperties>
</file>