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19CB8" w14:textId="77777777" w:rsidR="009E33F3" w:rsidRPr="004A24E4" w:rsidRDefault="009E33F3" w:rsidP="009E33F3">
      <w:pPr>
        <w:jc w:val="both"/>
        <w:rPr>
          <w:rFonts w:cstheme="minorHAnsi"/>
          <w:b/>
          <w:color w:val="000000"/>
        </w:rPr>
      </w:pPr>
      <w:r w:rsidRPr="004A24E4">
        <w:rPr>
          <w:rFonts w:cstheme="minorHAnsi"/>
          <w:b/>
          <w:color w:val="000000"/>
        </w:rPr>
        <w:t xml:space="preserve">Legends for supplementary figures </w:t>
      </w:r>
    </w:p>
    <w:p w14:paraId="12E5E762" w14:textId="77777777" w:rsidR="009E33F3" w:rsidRPr="004A24E4" w:rsidRDefault="009E33F3" w:rsidP="009E33F3">
      <w:pPr>
        <w:spacing w:after="0" w:line="360" w:lineRule="auto"/>
        <w:jc w:val="both"/>
        <w:rPr>
          <w:rFonts w:cstheme="minorHAnsi"/>
          <w:b/>
          <w:color w:val="000000"/>
        </w:rPr>
      </w:pPr>
      <w:r w:rsidRPr="004A24E4">
        <w:rPr>
          <w:rFonts w:cstheme="minorHAnsi"/>
          <w:b/>
          <w:color w:val="000000"/>
          <w:u w:val="single"/>
        </w:rPr>
        <w:t>Supplementary Figure 1.</w:t>
      </w:r>
      <w:r w:rsidRPr="004A24E4">
        <w:rPr>
          <w:rFonts w:cstheme="minorHAnsi"/>
          <w:b/>
          <w:color w:val="000000"/>
        </w:rPr>
        <w:t xml:space="preserve"> </w:t>
      </w:r>
    </w:p>
    <w:p w14:paraId="18EA5859" w14:textId="77777777" w:rsidR="009E33F3" w:rsidRPr="004A24E4" w:rsidRDefault="009E33F3" w:rsidP="009E33F3">
      <w:pPr>
        <w:spacing w:after="0" w:line="360" w:lineRule="auto"/>
        <w:jc w:val="both"/>
        <w:rPr>
          <w:rFonts w:cstheme="minorHAnsi"/>
          <w:b/>
          <w:color w:val="000000"/>
        </w:rPr>
      </w:pPr>
      <w:r w:rsidRPr="004A24E4">
        <w:rPr>
          <w:rFonts w:cstheme="minorHAnsi"/>
          <w:b/>
          <w:color w:val="000000"/>
        </w:rPr>
        <w:t xml:space="preserve">A) </w:t>
      </w:r>
      <w:r w:rsidRPr="004A24E4">
        <w:rPr>
          <w:rFonts w:cstheme="minorHAnsi"/>
          <w:bCs/>
          <w:color w:val="000000"/>
        </w:rPr>
        <w:t>Flow cytometric profiling of tumor-infiltrating immune cells in CT26 tumor-bearing mice treated as indicated. Quantified populations include CD4+ effector T cells, CD4+ CD69+ effector T cells, NK1.1+ cells, CD11b+ myeloid cells, F4/80+ macrophages, PMN-MDSCs, monocytes, and CD11c+ dendritic cells within CD45+ or myeloid compartments. Data represent the mean ± SEM of 3 tumors from each group. Statistical significance was determined by an ordinary one-way ANOVA (ns = not significant).</w:t>
      </w:r>
      <w:r w:rsidRPr="004A24E4">
        <w:rPr>
          <w:rFonts w:cstheme="minorHAnsi"/>
          <w:b/>
          <w:color w:val="000000"/>
        </w:rPr>
        <w:t xml:space="preserve"> </w:t>
      </w:r>
    </w:p>
    <w:p w14:paraId="714C0C38" w14:textId="77777777" w:rsidR="009E33F3" w:rsidRPr="004A24E4" w:rsidRDefault="009E33F3" w:rsidP="009E33F3">
      <w:pPr>
        <w:spacing w:before="120" w:after="0" w:line="360" w:lineRule="auto"/>
        <w:jc w:val="both"/>
        <w:rPr>
          <w:color w:val="000000"/>
        </w:rPr>
      </w:pPr>
      <w:r w:rsidRPr="004A24E4">
        <w:rPr>
          <w:b/>
          <w:color w:val="000000"/>
        </w:rPr>
        <w:t>(B)</w:t>
      </w:r>
      <w:r w:rsidRPr="004A24E4">
        <w:rPr>
          <w:color w:val="000000"/>
        </w:rPr>
        <w:t xml:space="preserve"> Percentage of CD4+ PD-1+ effector T cells among total CD4+ effector T cells across treatment groups. A significant reduction in CD4+ PD-1+ effector T cells was observed in the ACB1801+anti-PD-1 combination group compared to controls. Data represent the mean </w:t>
      </w:r>
      <w:r w:rsidRPr="004A24E4">
        <w:rPr>
          <w:rFonts w:cstheme="minorHAnsi"/>
          <w:color w:val="000000"/>
        </w:rPr>
        <w:t>±</w:t>
      </w:r>
      <w:r w:rsidRPr="004A24E4">
        <w:rPr>
          <w:color w:val="000000"/>
        </w:rPr>
        <w:t xml:space="preserve"> SEM of three tumors from each group. Statistical significance was determined by an </w:t>
      </w:r>
      <w:r w:rsidRPr="004A24E4">
        <w:rPr>
          <w:rFonts w:cstheme="minorHAnsi"/>
          <w:bCs/>
          <w:color w:val="000000"/>
        </w:rPr>
        <w:t xml:space="preserve">ordinary one-way ANOVA </w:t>
      </w:r>
      <w:r w:rsidRPr="004A24E4">
        <w:rPr>
          <w:color w:val="000000"/>
        </w:rPr>
        <w:t>(*p &lt; 0.05).</w:t>
      </w:r>
    </w:p>
    <w:p w14:paraId="0D7DC1E6" w14:textId="77777777" w:rsidR="009E33F3" w:rsidRPr="004A24E4" w:rsidRDefault="009E33F3" w:rsidP="009E33F3">
      <w:pPr>
        <w:spacing w:before="120" w:after="0" w:line="360" w:lineRule="auto"/>
        <w:jc w:val="both"/>
        <w:rPr>
          <w:rFonts w:cstheme="minorHAnsi"/>
          <w:b/>
          <w:color w:val="000000"/>
          <w:u w:val="single"/>
        </w:rPr>
      </w:pPr>
      <w:r w:rsidRPr="004A24E4">
        <w:rPr>
          <w:rFonts w:cstheme="minorHAnsi"/>
          <w:b/>
          <w:color w:val="000000"/>
          <w:u w:val="single"/>
        </w:rPr>
        <w:t>Supplementary Figure 2.</w:t>
      </w:r>
    </w:p>
    <w:p w14:paraId="2C844A48" w14:textId="77777777" w:rsidR="009E33F3" w:rsidRPr="004A24E4" w:rsidRDefault="009E33F3" w:rsidP="009E33F3">
      <w:pPr>
        <w:spacing w:after="0" w:line="360" w:lineRule="auto"/>
        <w:jc w:val="both"/>
        <w:rPr>
          <w:rFonts w:cstheme="minorHAnsi"/>
          <w:bCs/>
          <w:color w:val="000000"/>
        </w:rPr>
      </w:pPr>
      <w:r w:rsidRPr="004A24E4">
        <w:rPr>
          <w:rFonts w:cstheme="minorHAnsi"/>
          <w:b/>
          <w:bCs/>
          <w:color w:val="000000"/>
        </w:rPr>
        <w:t>(A)</w:t>
      </w:r>
      <w:r w:rsidRPr="004A24E4">
        <w:rPr>
          <w:rFonts w:cstheme="minorHAnsi"/>
          <w:bCs/>
          <w:color w:val="000000"/>
        </w:rPr>
        <w:t xml:space="preserve"> Gene set enrichment analysis (GSEA) of RNA-seq data from isolated intratumoral CD45+ cells comparing the combination (combo) treatment group (ACB1801 + anti</w:t>
      </w:r>
      <w:r w:rsidRPr="004A24E4">
        <w:rPr>
          <w:rFonts w:cstheme="minorHAnsi"/>
          <w:bCs/>
          <w:color w:val="000000"/>
        </w:rPr>
        <w:noBreakHyphen/>
        <w:t>PD</w:t>
      </w:r>
      <w:r w:rsidRPr="004A24E4">
        <w:rPr>
          <w:rFonts w:cstheme="minorHAnsi"/>
          <w:bCs/>
          <w:color w:val="000000"/>
        </w:rPr>
        <w:noBreakHyphen/>
        <w:t>1) with the single-agent anti</w:t>
      </w:r>
      <w:r w:rsidRPr="004A24E4">
        <w:rPr>
          <w:rFonts w:cstheme="minorHAnsi"/>
          <w:bCs/>
          <w:color w:val="000000"/>
        </w:rPr>
        <w:noBreakHyphen/>
        <w:t>PD</w:t>
      </w:r>
      <w:r w:rsidRPr="004A24E4">
        <w:rPr>
          <w:rFonts w:cstheme="minorHAnsi"/>
          <w:bCs/>
          <w:color w:val="000000"/>
        </w:rPr>
        <w:noBreakHyphen/>
        <w:t>1 group. The enrichment plots show significant upregulation of gene sets associated with gamma/delta T cell activation, cytokine-production involved in immune response and antigen processing and presentation in the combination group. For each pathway, the green line represents the running enrichment score, vertical black bars indicate the positions of genes from the gene set in the ranked list, and the normalized enrichment score (NES) and p-value are reported within each panel.</w:t>
      </w:r>
      <w:r w:rsidRPr="004A24E4" w:rsidDel="00F63D7D">
        <w:rPr>
          <w:rFonts w:cstheme="minorHAnsi"/>
          <w:bCs/>
          <w:color w:val="000000"/>
        </w:rPr>
        <w:t xml:space="preserve"> </w:t>
      </w:r>
    </w:p>
    <w:p w14:paraId="6A2268B2" w14:textId="77777777" w:rsidR="009E33F3" w:rsidRPr="004A24E4" w:rsidRDefault="009E33F3" w:rsidP="009E33F3">
      <w:pPr>
        <w:spacing w:after="0" w:line="360" w:lineRule="auto"/>
        <w:jc w:val="both"/>
        <w:rPr>
          <w:rFonts w:cstheme="minorHAnsi"/>
          <w:bCs/>
          <w:color w:val="000000"/>
        </w:rPr>
      </w:pPr>
      <w:r w:rsidRPr="004A24E4">
        <w:rPr>
          <w:rFonts w:cstheme="minorHAnsi"/>
          <w:b/>
          <w:color w:val="000000"/>
        </w:rPr>
        <w:t xml:space="preserve">(B) </w:t>
      </w:r>
      <w:r w:rsidRPr="004A24E4">
        <w:rPr>
          <w:rFonts w:cstheme="minorHAnsi"/>
          <w:bCs/>
          <w:color w:val="000000"/>
        </w:rPr>
        <w:t>Quantification of intratumoral IFN</w:t>
      </w:r>
      <w:r w:rsidRPr="004A24E4">
        <w:rPr>
          <w:rFonts w:ascii="Symbol" w:hAnsi="Symbol" w:cstheme="minorHAnsi"/>
          <w:bCs/>
          <w:color w:val="000000"/>
        </w:rPr>
        <w:t></w:t>
      </w:r>
      <w:r w:rsidRPr="004A24E4">
        <w:rPr>
          <w:rFonts w:cstheme="minorHAnsi"/>
          <w:bCs/>
          <w:color w:val="000000"/>
        </w:rPr>
        <w:t xml:space="preserve"> secretion in CT26 tumor-bearing mice. Tumors were enzymatically dissociated, and tumor plasma was isolated and concentrated by centrifugation. IFN</w:t>
      </w:r>
      <w:r w:rsidRPr="004A24E4">
        <w:rPr>
          <w:rFonts w:ascii="Symbol" w:hAnsi="Symbol" w:cstheme="minorHAnsi"/>
          <w:bCs/>
          <w:color w:val="000000"/>
        </w:rPr>
        <w:t></w:t>
      </w:r>
      <w:r w:rsidRPr="004A24E4">
        <w:rPr>
          <w:rFonts w:cstheme="minorHAnsi"/>
          <w:bCs/>
          <w:color w:val="000000"/>
        </w:rPr>
        <w:t xml:space="preserve"> levels were measured using a mouse IFN</w:t>
      </w:r>
      <w:r w:rsidRPr="004A24E4">
        <w:rPr>
          <w:rFonts w:ascii="Symbol" w:hAnsi="Symbol" w:cstheme="minorHAnsi"/>
          <w:bCs/>
          <w:color w:val="000000"/>
        </w:rPr>
        <w:t></w:t>
      </w:r>
      <w:r w:rsidRPr="004A24E4">
        <w:rPr>
          <w:rFonts w:cstheme="minorHAnsi"/>
          <w:bCs/>
          <w:color w:val="000000"/>
        </w:rPr>
        <w:t xml:space="preserve"> ELISA kit. The bar graphs represent the mean IFN</w:t>
      </w:r>
      <w:r w:rsidRPr="004A24E4">
        <w:rPr>
          <w:rFonts w:ascii="Symbol" w:hAnsi="Symbol" w:cstheme="minorHAnsi"/>
          <w:bCs/>
          <w:color w:val="000000"/>
        </w:rPr>
        <w:t></w:t>
      </w:r>
      <w:r w:rsidRPr="004A24E4">
        <w:rPr>
          <w:rFonts w:cstheme="minorHAnsi"/>
          <w:bCs/>
          <w:color w:val="000000"/>
        </w:rPr>
        <w:t xml:space="preserve"> concentration (pg/mL) ± SEM from 3 tumors per treatment group. Statistical significance was determined by an ordinary one-way ANOVA (*p &lt; 0.05; **p &lt; 0.01).</w:t>
      </w:r>
    </w:p>
    <w:p w14:paraId="45176BE0" w14:textId="77777777" w:rsidR="009E33F3" w:rsidRPr="004A24E4" w:rsidRDefault="009E33F3" w:rsidP="009E33F3">
      <w:pPr>
        <w:spacing w:before="120" w:after="0" w:line="360" w:lineRule="auto"/>
        <w:jc w:val="both"/>
        <w:rPr>
          <w:rFonts w:cstheme="minorHAnsi"/>
          <w:color w:val="000000"/>
        </w:rPr>
      </w:pPr>
      <w:r w:rsidRPr="004A24E4">
        <w:rPr>
          <w:rFonts w:cstheme="minorHAnsi"/>
          <w:b/>
          <w:bCs/>
          <w:color w:val="000000"/>
        </w:rPr>
        <w:t xml:space="preserve">(C) </w:t>
      </w:r>
      <w:r w:rsidRPr="004A24E4">
        <w:rPr>
          <w:rFonts w:cstheme="minorHAnsi"/>
          <w:color w:val="000000"/>
        </w:rPr>
        <w:t>Association of glycolysis signature and ferroptosis suppressors in CD45- mouse tumor samples (n = 12). The scatter plots show a negative correlation between glycolysis signature and ferroptosis suppressor scores, as indicated by the Pearson correlation coefficients (R) and p-values.</w:t>
      </w:r>
    </w:p>
    <w:p w14:paraId="2E9249D7" w14:textId="77777777" w:rsidR="009E33F3" w:rsidRPr="004A24E4" w:rsidRDefault="009E33F3" w:rsidP="009E33F3">
      <w:pPr>
        <w:spacing w:before="120" w:after="0" w:line="360" w:lineRule="auto"/>
        <w:jc w:val="both"/>
        <w:rPr>
          <w:rFonts w:cstheme="minorHAnsi"/>
          <w:color w:val="000000"/>
        </w:rPr>
      </w:pPr>
      <w:r w:rsidRPr="004A24E4">
        <w:rPr>
          <w:rFonts w:cstheme="minorHAnsi"/>
          <w:b/>
          <w:bCs/>
          <w:color w:val="000000"/>
        </w:rPr>
        <w:lastRenderedPageBreak/>
        <w:t xml:space="preserve">(D) </w:t>
      </w:r>
      <w:r w:rsidRPr="004A24E4">
        <w:rPr>
          <w:rFonts w:cstheme="minorHAnsi"/>
          <w:color w:val="000000"/>
        </w:rPr>
        <w:t>Association of glycolysis and ferroptosis suppressors in TCGA-COAD CRC patient samples (n = 524). The scatter plots show a negative correlation between glycolysis signature and ferroptosis suppressor scores as indicated by the Pearson correlation coefficients (R) and p-values.</w:t>
      </w:r>
    </w:p>
    <w:p w14:paraId="3D27924D" w14:textId="77777777" w:rsidR="009E33F3" w:rsidRPr="004A24E4" w:rsidRDefault="009E33F3" w:rsidP="009E33F3">
      <w:pPr>
        <w:spacing w:before="120" w:after="0" w:line="360" w:lineRule="auto"/>
        <w:jc w:val="both"/>
        <w:rPr>
          <w:rFonts w:cstheme="minorHAnsi"/>
          <w:b/>
          <w:color w:val="000000"/>
          <w:u w:val="single"/>
        </w:rPr>
      </w:pPr>
      <w:r w:rsidRPr="004A24E4">
        <w:rPr>
          <w:rFonts w:cstheme="minorHAnsi"/>
          <w:b/>
          <w:color w:val="000000"/>
          <w:u w:val="single"/>
        </w:rPr>
        <w:t>Supplementary Figure 3.</w:t>
      </w:r>
    </w:p>
    <w:p w14:paraId="32245B9B" w14:textId="77777777" w:rsidR="009E33F3" w:rsidRPr="004A24E4" w:rsidRDefault="009E33F3" w:rsidP="009E33F3">
      <w:pPr>
        <w:spacing w:after="120" w:line="360" w:lineRule="auto"/>
        <w:jc w:val="both"/>
        <w:rPr>
          <w:rFonts w:cstheme="minorHAnsi"/>
          <w:bCs/>
          <w:color w:val="000000"/>
        </w:rPr>
      </w:pPr>
      <w:r w:rsidRPr="004A24E4">
        <w:rPr>
          <w:rFonts w:cstheme="minorHAnsi"/>
          <w:bCs/>
          <w:color w:val="000000"/>
        </w:rPr>
        <w:t xml:space="preserve">Depletion of STAT1 with siRNAs targeting mouse </w:t>
      </w:r>
      <w:r w:rsidRPr="004A24E4">
        <w:rPr>
          <w:rFonts w:cstheme="minorHAnsi"/>
          <w:bCs/>
          <w:i/>
          <w:color w:val="000000"/>
        </w:rPr>
        <w:t>Stat1</w:t>
      </w:r>
      <w:r w:rsidRPr="004A24E4">
        <w:rPr>
          <w:rFonts w:cstheme="minorHAnsi"/>
          <w:bCs/>
          <w:color w:val="000000"/>
        </w:rPr>
        <w:t xml:space="preserve"> or human </w:t>
      </w:r>
      <w:r w:rsidRPr="004A24E4">
        <w:rPr>
          <w:rFonts w:cstheme="minorHAnsi"/>
          <w:bCs/>
          <w:i/>
          <w:color w:val="000000"/>
        </w:rPr>
        <w:t>STAT1</w:t>
      </w:r>
      <w:r w:rsidRPr="004A24E4">
        <w:rPr>
          <w:rFonts w:cstheme="minorHAnsi"/>
          <w:bCs/>
          <w:color w:val="000000"/>
        </w:rPr>
        <w:t>. CT26 cells were transfected with siCTRL or 2 siRNAs targeting mouse Stat1 (#7 and #8), and HT29 cells were transfected with siCTRL or 2 siRNAs targeting human STAT1 (#7 and #8). Following treatment with DMSO or ACB1801, Stat1/STAT1 mRNA levels were quantified by RT-PCR.  Data represent the mean ± SEM of the fold change (FC) relative to the siCTRL DMSO from 3 independent experiments. Statistical significance was determined by an ordinary one-way ANOVA (ns, not significant; **p &lt; 0.01; ****p &lt; 0.0001).</w:t>
      </w:r>
    </w:p>
    <w:p w14:paraId="37DB15A9" w14:textId="77777777" w:rsidR="009E33F3" w:rsidRPr="004A24E4" w:rsidRDefault="009E33F3" w:rsidP="009E33F3">
      <w:pPr>
        <w:spacing w:before="120" w:after="0" w:line="360" w:lineRule="auto"/>
        <w:jc w:val="both"/>
        <w:rPr>
          <w:rFonts w:cstheme="minorHAnsi"/>
          <w:b/>
          <w:color w:val="000000"/>
          <w:u w:val="single"/>
        </w:rPr>
      </w:pPr>
      <w:r w:rsidRPr="004A24E4">
        <w:rPr>
          <w:rFonts w:cstheme="minorHAnsi"/>
          <w:b/>
          <w:color w:val="000000"/>
          <w:u w:val="single"/>
        </w:rPr>
        <w:t>Supplementary Figure 4.</w:t>
      </w:r>
    </w:p>
    <w:p w14:paraId="6ADAD1C1" w14:textId="77777777" w:rsidR="009E33F3" w:rsidRPr="004A24E4" w:rsidRDefault="009E33F3" w:rsidP="009E33F3">
      <w:pPr>
        <w:spacing w:before="120" w:after="0" w:line="360" w:lineRule="auto"/>
        <w:jc w:val="both"/>
        <w:rPr>
          <w:rFonts w:cstheme="minorHAnsi"/>
          <w:color w:val="000000"/>
          <w:spacing w:val="1"/>
        </w:rPr>
      </w:pPr>
      <w:r w:rsidRPr="004A24E4">
        <w:rPr>
          <w:rFonts w:cstheme="minorHAnsi"/>
          <w:b/>
          <w:color w:val="000000"/>
        </w:rPr>
        <w:t xml:space="preserve">(A) </w:t>
      </w:r>
      <w:r w:rsidRPr="004A24E4">
        <w:rPr>
          <w:rFonts w:cstheme="minorHAnsi"/>
          <w:color w:val="000000"/>
          <w:spacing w:val="1"/>
        </w:rPr>
        <w:t xml:space="preserve">ACB1801 enhances the expression of MHC-I–associated genes in murine (CT26) and human (HT29) cell lines. Cells were treated with ACB1801 (10 μM) or DMSO for 24 hours, and mRNA levels of Tap1/TAP1, Tap2/TAP2, and B2m/B2M were quantified by RT-PCR and normalized to the control. The bar graphs represent the mean fold change from 3 independent experiments ± SEM. Statistical significance was determined by an unpaired t-test: *p &lt; 0.05, **p &lt; 0.01, ****p &lt; 0.0001. </w:t>
      </w:r>
    </w:p>
    <w:p w14:paraId="67ADBF63" w14:textId="77777777" w:rsidR="009E33F3" w:rsidRPr="004A24E4" w:rsidRDefault="009E33F3" w:rsidP="009E33F3">
      <w:pPr>
        <w:spacing w:before="120" w:after="0" w:line="360" w:lineRule="auto"/>
        <w:jc w:val="both"/>
        <w:rPr>
          <w:rFonts w:cstheme="minorHAnsi"/>
          <w:bCs/>
          <w:color w:val="000000"/>
        </w:rPr>
      </w:pPr>
      <w:r w:rsidRPr="004A24E4">
        <w:rPr>
          <w:rFonts w:cstheme="minorHAnsi"/>
          <w:b/>
          <w:color w:val="000000"/>
        </w:rPr>
        <w:t xml:space="preserve"> (B)</w:t>
      </w:r>
      <w:r w:rsidRPr="004A24E4">
        <w:rPr>
          <w:rFonts w:cstheme="minorHAnsi"/>
          <w:bCs/>
          <w:color w:val="000000"/>
        </w:rPr>
        <w:t xml:space="preserve"> Depletion of NLRC5 blocks the ACB1801-mediated induction of MHC-I–related genes. CT26 cells were transfected with control siRNA (siCTRL) or two siRNAs targeting mouse Nlrc5 (siNlrc5 #11 or #18), and HT29 cells were transfected with siCTRL or two siRNAs targeting human NLRC5 (siNLRC5 #11 or #12). Following transfection, cells were treated with DMSO or ACB1801, and mRNA levels of Nlrc5/NLRC5, Tap1/TAP1, and Tap2/TAP2 were measured by quantitative RT-PCR. Data represent the mean ± SEM of the fold change (FC) relative to the siCTRL DMSO from 3 independent experiments. Statistical significance was determined by ordinary one-way ANOVA (*p &lt; 0.05; **p &lt; 0.01; ***p &lt; 0.001; ****p &lt; 0.0001). </w:t>
      </w:r>
    </w:p>
    <w:p w14:paraId="0F9436EC" w14:textId="77777777" w:rsidR="009E33F3" w:rsidRPr="004A24E4" w:rsidRDefault="009E33F3" w:rsidP="009E33F3">
      <w:pPr>
        <w:spacing w:before="120" w:after="0" w:line="360" w:lineRule="auto"/>
        <w:jc w:val="both"/>
        <w:rPr>
          <w:rFonts w:cstheme="minorHAnsi"/>
          <w:b/>
          <w:color w:val="000000"/>
          <w:u w:val="single"/>
        </w:rPr>
      </w:pPr>
      <w:r w:rsidRPr="004A24E4">
        <w:rPr>
          <w:rFonts w:cstheme="minorHAnsi"/>
          <w:b/>
          <w:color w:val="000000"/>
          <w:u w:val="single"/>
        </w:rPr>
        <w:t>Supplementary Figure 5</w:t>
      </w:r>
    </w:p>
    <w:p w14:paraId="440BBC2C" w14:textId="77777777" w:rsidR="009E33F3" w:rsidRPr="004A24E4" w:rsidRDefault="009E33F3" w:rsidP="009E33F3">
      <w:pPr>
        <w:spacing w:after="0" w:line="360" w:lineRule="auto"/>
        <w:jc w:val="both"/>
        <w:rPr>
          <w:rFonts w:cstheme="minorHAnsi"/>
          <w:bCs/>
          <w:color w:val="000000"/>
        </w:rPr>
      </w:pPr>
      <w:r w:rsidRPr="004A24E4">
        <w:rPr>
          <w:rFonts w:cstheme="minorHAnsi"/>
          <w:bCs/>
          <w:color w:val="000000"/>
        </w:rPr>
        <w:t>Volcano plot showing differentially expressed genes in CT26 tumors treated with ACB1801 compared to DMSO. Each point represents an individual gene, with log2 fold change (logFC) on the x-axis and −log10(p-value) on the y-axis. Upregulated genes in ACB1801-treated tumors are shown in red and downregulated genes in blue; no significant genes are shown in gray. Dashed vertical lines indicate log2FC cutoffs (±1), and the dashed horizontal line marks the p-value significance threshold.</w:t>
      </w:r>
    </w:p>
    <w:p w14:paraId="113EC5EB" w14:textId="77777777" w:rsidR="009E33F3" w:rsidRPr="004A24E4" w:rsidRDefault="009E33F3" w:rsidP="009E33F3">
      <w:pPr>
        <w:spacing w:before="120" w:after="0" w:line="360" w:lineRule="auto"/>
        <w:jc w:val="both"/>
        <w:rPr>
          <w:rFonts w:cstheme="minorHAnsi"/>
          <w:bCs/>
          <w:color w:val="000000"/>
          <w:u w:val="single"/>
        </w:rPr>
      </w:pPr>
      <w:r w:rsidRPr="004A24E4">
        <w:rPr>
          <w:rFonts w:cstheme="minorHAnsi"/>
          <w:b/>
          <w:bCs/>
          <w:color w:val="000000"/>
          <w:u w:val="single"/>
        </w:rPr>
        <w:lastRenderedPageBreak/>
        <w:t>Supplementary Figure 6.</w:t>
      </w:r>
    </w:p>
    <w:p w14:paraId="303B8B5C" w14:textId="77777777" w:rsidR="009E33F3" w:rsidRPr="004A24E4" w:rsidRDefault="009E33F3" w:rsidP="009E33F3">
      <w:pPr>
        <w:spacing w:after="0" w:line="360" w:lineRule="auto"/>
        <w:jc w:val="both"/>
        <w:rPr>
          <w:rFonts w:cstheme="minorHAnsi"/>
          <w:color w:val="000000"/>
        </w:rPr>
      </w:pPr>
      <w:r w:rsidRPr="004A24E4">
        <w:rPr>
          <w:rFonts w:cstheme="minorHAnsi"/>
          <w:b/>
          <w:bCs/>
          <w:color w:val="000000"/>
        </w:rPr>
        <w:t xml:space="preserve">(A) </w:t>
      </w:r>
      <w:r w:rsidRPr="004A24E4">
        <w:rPr>
          <w:rFonts w:cstheme="minorHAnsi"/>
          <w:color w:val="000000"/>
        </w:rPr>
        <w:t>ACB1801 reduces the secretion of LCN2 in CT26 and HT29 cells. The bar graphs show LCN2 protein levels in the supernatants of CT26 cells treated with DMSO or 10 μM ACB1801, and HT29 cells treated with DMSO or 20 μM ACB1801. ACB1801 treatment significantly decreases LCN2 secretion in both cell lines. Data are presented as mean ± SEM from 3 independent experiments. Statistical significance was determined by an unpaired t-test (*p &lt; 0.05, **p &lt; 0.01).</w:t>
      </w:r>
    </w:p>
    <w:p w14:paraId="775E0ABB" w14:textId="77777777" w:rsidR="009E33F3" w:rsidRPr="004A24E4" w:rsidRDefault="009E33F3" w:rsidP="009E33F3">
      <w:pPr>
        <w:spacing w:before="120" w:line="360" w:lineRule="auto"/>
        <w:jc w:val="both"/>
        <w:rPr>
          <w:rFonts w:cstheme="minorHAnsi"/>
          <w:color w:val="000000"/>
        </w:rPr>
      </w:pPr>
      <w:r w:rsidRPr="004A24E4">
        <w:rPr>
          <w:rFonts w:cstheme="minorHAnsi"/>
          <w:b/>
          <w:bCs/>
          <w:color w:val="000000"/>
        </w:rPr>
        <w:t xml:space="preserve">(B) </w:t>
      </w:r>
      <w:r w:rsidRPr="004A24E4">
        <w:rPr>
          <w:rFonts w:cstheme="minorHAnsi"/>
          <w:color w:val="000000"/>
        </w:rPr>
        <w:t>Association of glycolysis and ferroptosis signatures with T cell subsets in TCGA colorectal cancer (CRC) patients. The scatter plots show correlations between glycolysis signature scores or ferroptosis suppressor scores and the estimated fractions of CD8 T cells or regulatory T cells (Tregs) in CRC tumors from TCGA. A negative correlation is observed between glycolysis or ferroptosis suppressor signatures and CD8 T cell marker, whereas a positive correlation is seen with Treg marker, as indicated by the Pearson correlation coefficients (R) and p-values shown on each plot.</w:t>
      </w:r>
    </w:p>
    <w:p w14:paraId="2F46EDC0" w14:textId="77777777" w:rsidR="009542D6" w:rsidRDefault="009542D6"/>
    <w:sectPr w:rsidR="009542D6" w:rsidSect="009E33F3">
      <w:footerReference w:type="default" r:id="rId4"/>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9E9E" w14:textId="77777777" w:rsidR="009E33F3" w:rsidRPr="0018340E" w:rsidRDefault="009E33F3">
    <w:pPr>
      <w:pStyle w:val="Footer"/>
      <w:jc w:val="center"/>
    </w:pPr>
    <w:r w:rsidRPr="0018340E">
      <w:t xml:space="preserve">Page </w:t>
    </w:r>
    <w:r w:rsidRPr="00D55CF0">
      <w:fldChar w:fldCharType="begin"/>
    </w:r>
    <w:r w:rsidRPr="0018340E">
      <w:instrText xml:space="preserve"> PAGE  \* Arabic  \* MERGEFORMAT </w:instrText>
    </w:r>
    <w:r w:rsidRPr="00D55CF0">
      <w:fldChar w:fldCharType="separate"/>
    </w:r>
    <w:r>
      <w:rPr>
        <w:noProof/>
      </w:rPr>
      <w:t>2</w:t>
    </w:r>
    <w:r w:rsidRPr="00D55CF0">
      <w:fldChar w:fldCharType="end"/>
    </w:r>
    <w:r w:rsidRPr="0018340E">
      <w:t xml:space="preserve"> of </w:t>
    </w:r>
    <w:r w:rsidRPr="00D55CF0">
      <w:fldChar w:fldCharType="begin"/>
    </w:r>
    <w:r w:rsidRPr="0018340E">
      <w:instrText xml:space="preserve"> NUMPAGES  \* Arabic  \* MERGEFORMAT </w:instrText>
    </w:r>
    <w:r w:rsidRPr="00D55CF0">
      <w:fldChar w:fldCharType="separate"/>
    </w:r>
    <w:r>
      <w:rPr>
        <w:noProof/>
      </w:rPr>
      <w:t>36</w:t>
    </w:r>
    <w:r w:rsidRPr="00D55CF0">
      <w:fldChar w:fldCharType="end"/>
    </w:r>
  </w:p>
  <w:p w14:paraId="2AA808D0" w14:textId="77777777" w:rsidR="009E33F3" w:rsidRDefault="009E33F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3F3"/>
    <w:rsid w:val="000F324E"/>
    <w:rsid w:val="00264C10"/>
    <w:rsid w:val="00470242"/>
    <w:rsid w:val="00726E03"/>
    <w:rsid w:val="00934BC8"/>
    <w:rsid w:val="009542D6"/>
    <w:rsid w:val="009E33F3"/>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4A782"/>
  <w15:chartTrackingRefBased/>
  <w15:docId w15:val="{55271ECE-E28E-48C0-9543-BDB5A88F4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3F3"/>
    <w:pPr>
      <w:spacing w:line="259" w:lineRule="auto"/>
    </w:pPr>
    <w:rPr>
      <w:kern w:val="0"/>
      <w:sz w:val="22"/>
      <w:szCs w:val="22"/>
      <w14:ligatures w14:val="none"/>
    </w:rPr>
  </w:style>
  <w:style w:type="paragraph" w:styleId="Heading1">
    <w:name w:val="heading 1"/>
    <w:basedOn w:val="Normal"/>
    <w:next w:val="Normal"/>
    <w:link w:val="Heading1Char"/>
    <w:uiPriority w:val="9"/>
    <w:qFormat/>
    <w:rsid w:val="009E33F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E33F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E33F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E33F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E33F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E33F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E33F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E33F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E33F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3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33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33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33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33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33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3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3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3F3"/>
    <w:rPr>
      <w:rFonts w:eastAsiaTheme="majorEastAsia" w:cstheme="majorBidi"/>
      <w:color w:val="272727" w:themeColor="text1" w:themeTint="D8"/>
    </w:rPr>
  </w:style>
  <w:style w:type="paragraph" w:styleId="Title">
    <w:name w:val="Title"/>
    <w:basedOn w:val="Normal"/>
    <w:next w:val="Normal"/>
    <w:link w:val="TitleChar"/>
    <w:uiPriority w:val="10"/>
    <w:qFormat/>
    <w:rsid w:val="009E33F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E33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3F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E33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3F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E33F3"/>
    <w:rPr>
      <w:i/>
      <w:iCs/>
      <w:color w:val="404040" w:themeColor="text1" w:themeTint="BF"/>
    </w:rPr>
  </w:style>
  <w:style w:type="paragraph" w:styleId="ListParagraph">
    <w:name w:val="List Paragraph"/>
    <w:basedOn w:val="Normal"/>
    <w:uiPriority w:val="34"/>
    <w:qFormat/>
    <w:rsid w:val="009E33F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E33F3"/>
    <w:rPr>
      <w:i/>
      <w:iCs/>
      <w:color w:val="0F4761" w:themeColor="accent1" w:themeShade="BF"/>
    </w:rPr>
  </w:style>
  <w:style w:type="paragraph" w:styleId="IntenseQuote">
    <w:name w:val="Intense Quote"/>
    <w:basedOn w:val="Normal"/>
    <w:next w:val="Normal"/>
    <w:link w:val="IntenseQuoteChar"/>
    <w:uiPriority w:val="30"/>
    <w:qFormat/>
    <w:rsid w:val="009E33F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E33F3"/>
    <w:rPr>
      <w:i/>
      <w:iCs/>
      <w:color w:val="0F4761" w:themeColor="accent1" w:themeShade="BF"/>
    </w:rPr>
  </w:style>
  <w:style w:type="character" w:styleId="IntenseReference">
    <w:name w:val="Intense Reference"/>
    <w:basedOn w:val="DefaultParagraphFont"/>
    <w:uiPriority w:val="32"/>
    <w:qFormat/>
    <w:rsid w:val="009E33F3"/>
    <w:rPr>
      <w:b/>
      <w:bCs/>
      <w:smallCaps/>
      <w:color w:val="0F4761" w:themeColor="accent1" w:themeShade="BF"/>
      <w:spacing w:val="5"/>
    </w:rPr>
  </w:style>
  <w:style w:type="paragraph" w:styleId="Footer">
    <w:name w:val="footer"/>
    <w:basedOn w:val="Normal"/>
    <w:link w:val="FooterChar"/>
    <w:uiPriority w:val="99"/>
    <w:unhideWhenUsed/>
    <w:rsid w:val="009E33F3"/>
    <w:pPr>
      <w:tabs>
        <w:tab w:val="center" w:pos="4703"/>
        <w:tab w:val="right" w:pos="9406"/>
      </w:tabs>
      <w:spacing w:after="0" w:line="240" w:lineRule="auto"/>
    </w:pPr>
  </w:style>
  <w:style w:type="character" w:customStyle="1" w:styleId="FooterChar">
    <w:name w:val="Footer Char"/>
    <w:basedOn w:val="DefaultParagraphFont"/>
    <w:link w:val="Footer"/>
    <w:uiPriority w:val="99"/>
    <w:rsid w:val="009E33F3"/>
    <w:rPr>
      <w:kern w:val="0"/>
      <w:sz w:val="22"/>
      <w:szCs w:val="22"/>
      <w14:ligatures w14:val="none"/>
    </w:rPr>
  </w:style>
  <w:style w:type="character" w:styleId="LineNumber">
    <w:name w:val="line number"/>
    <w:basedOn w:val="DefaultParagraphFont"/>
    <w:uiPriority w:val="99"/>
    <w:semiHidden/>
    <w:unhideWhenUsed/>
    <w:rsid w:val="009E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5111</Characters>
  <Application>Microsoft Office Word</Application>
  <DocSecurity>0</DocSecurity>
  <Lines>42</Lines>
  <Paragraphs>11</Paragraphs>
  <ScaleCrop>false</ScaleCrop>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2026-10-08T20:59:00Z</dcterms:created>
  <dcterms:modified xsi:type="dcterms:W3CDTF">2026-10-08T20:59:00Z</dcterms:modified>
</cp:coreProperties>
</file>