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5CC568" w14:textId="77777777" w:rsidR="00FE4A77" w:rsidRPr="00137F45" w:rsidRDefault="00FE4A77" w:rsidP="00FE4A77">
      <w:pPr>
        <w:pStyle w:val="Acknowledgements"/>
        <w:spacing w:line="360" w:lineRule="auto"/>
        <w:rPr>
          <w:i/>
        </w:rPr>
      </w:pPr>
      <w:r w:rsidRPr="00137F45">
        <w:rPr>
          <w:b/>
        </w:rPr>
        <w:t>Supporting Information</w:t>
      </w:r>
    </w:p>
    <w:p w14:paraId="5DA50925" w14:textId="77777777" w:rsidR="00FE4A77" w:rsidRDefault="00FE4A77" w:rsidP="00FE4A77">
      <w:pPr>
        <w:pStyle w:val="Head"/>
        <w:spacing w:before="0" w:after="0"/>
        <w:jc w:val="left"/>
        <w:rPr>
          <w:color w:val="000000" w:themeColor="text1"/>
          <w:sz w:val="24"/>
          <w:szCs w:val="24"/>
        </w:rPr>
      </w:pPr>
    </w:p>
    <w:p w14:paraId="58CC99F2" w14:textId="2C33E355" w:rsidR="00FE4A77" w:rsidRPr="00FE4A77" w:rsidRDefault="00FE4A77" w:rsidP="00FE4A77">
      <w:pPr>
        <w:pStyle w:val="Head"/>
        <w:spacing w:before="0" w:after="0"/>
        <w:jc w:val="left"/>
        <w:rPr>
          <w:color w:val="000000" w:themeColor="text1"/>
          <w:sz w:val="24"/>
          <w:szCs w:val="24"/>
        </w:rPr>
      </w:pPr>
      <w:r w:rsidRPr="00FE4A77">
        <w:rPr>
          <w:color w:val="000000" w:themeColor="text1"/>
          <w:sz w:val="24"/>
          <w:szCs w:val="24"/>
        </w:rPr>
        <w:t>Defined extracellular matrices uncover gravity-dependent switching in adhesion-migration behavior</w:t>
      </w:r>
    </w:p>
    <w:p w14:paraId="3C3AAF4F" w14:textId="77777777" w:rsidR="00FE4A77" w:rsidRPr="00FE4A77" w:rsidRDefault="00FE4A77" w:rsidP="00FE4A77">
      <w:pPr>
        <w:pStyle w:val="Tableofcontents"/>
        <w:spacing w:line="360" w:lineRule="auto"/>
      </w:pPr>
    </w:p>
    <w:p w14:paraId="32642DBC" w14:textId="77777777" w:rsidR="00FE4A77" w:rsidRPr="00FE4A77" w:rsidRDefault="00FE4A77" w:rsidP="00FE4A77">
      <w:pPr>
        <w:rPr>
          <w:i/>
          <w:iCs/>
          <w:lang w:val="en-US"/>
        </w:rPr>
      </w:pPr>
      <w:r w:rsidRPr="00FE4A77">
        <w:rPr>
          <w:i/>
          <w:iCs/>
          <w:lang w:val="en-US"/>
        </w:rPr>
        <w:t>Giulia Silvani</w:t>
      </w:r>
      <w:r w:rsidRPr="00FE4A77">
        <w:rPr>
          <w:i/>
          <w:iCs/>
          <w:vertAlign w:val="superscript"/>
          <w:lang w:val="en-US"/>
        </w:rPr>
        <w:t>1*</w:t>
      </w:r>
      <w:r w:rsidRPr="00FE4A77">
        <w:rPr>
          <w:i/>
          <w:iCs/>
          <w:lang w:val="en-US"/>
        </w:rPr>
        <w:t>, Caitlin Williams</w:t>
      </w:r>
      <w:r w:rsidRPr="00FE4A77">
        <w:rPr>
          <w:i/>
          <w:iCs/>
          <w:vertAlign w:val="superscript"/>
          <w:lang w:val="en-US"/>
        </w:rPr>
        <w:t>1</w:t>
      </w:r>
      <w:r w:rsidRPr="00FE4A77">
        <w:rPr>
          <w:i/>
          <w:iCs/>
          <w:lang w:val="en-US"/>
        </w:rPr>
        <w:t>, Nicolas Warburton</w:t>
      </w:r>
      <w:r w:rsidRPr="00FE4A77">
        <w:rPr>
          <w:i/>
          <w:iCs/>
          <w:vertAlign w:val="superscript"/>
          <w:lang w:val="en-US"/>
        </w:rPr>
        <w:t>2</w:t>
      </w:r>
      <w:r w:rsidRPr="00FE4A77">
        <w:rPr>
          <w:i/>
          <w:iCs/>
          <w:lang w:val="en-US"/>
        </w:rPr>
        <w:t>, Kanwar A. Singh</w:t>
      </w:r>
      <w:r w:rsidRPr="00FE4A77">
        <w:rPr>
          <w:i/>
          <w:iCs/>
          <w:vertAlign w:val="superscript"/>
          <w:lang w:val="en-US"/>
        </w:rPr>
        <w:t>2</w:t>
      </w:r>
      <w:r w:rsidRPr="00FE4A77">
        <w:rPr>
          <w:i/>
          <w:iCs/>
          <w:lang w:val="en-US"/>
        </w:rPr>
        <w:t xml:space="preserve">, </w:t>
      </w:r>
      <w:proofErr w:type="spellStart"/>
      <w:r w:rsidRPr="00FE4A77">
        <w:rPr>
          <w:i/>
          <w:iCs/>
          <w:lang w:val="en-US"/>
        </w:rPr>
        <w:t>Riddhesh</w:t>
      </w:r>
      <w:proofErr w:type="spellEnd"/>
      <w:r w:rsidRPr="00FE4A77">
        <w:rPr>
          <w:i/>
          <w:iCs/>
          <w:lang w:val="en-US"/>
        </w:rPr>
        <w:t xml:space="preserve"> B.  Doshi</w:t>
      </w:r>
      <w:r w:rsidRPr="00FE4A77">
        <w:rPr>
          <w:i/>
          <w:iCs/>
          <w:vertAlign w:val="superscript"/>
          <w:lang w:val="en-US"/>
        </w:rPr>
        <w:t>2</w:t>
      </w:r>
      <w:r w:rsidRPr="00FE4A77">
        <w:rPr>
          <w:i/>
          <w:iCs/>
          <w:lang w:val="en-US"/>
        </w:rPr>
        <w:t xml:space="preserve">, </w:t>
      </w:r>
      <w:proofErr w:type="spellStart"/>
      <w:r w:rsidRPr="00FE4A77">
        <w:rPr>
          <w:i/>
          <w:iCs/>
          <w:lang w:val="en-US"/>
        </w:rPr>
        <w:t>Yuzhu</w:t>
      </w:r>
      <w:proofErr w:type="spellEnd"/>
      <w:r w:rsidRPr="00FE4A77">
        <w:rPr>
          <w:i/>
          <w:iCs/>
          <w:lang w:val="en-US"/>
        </w:rPr>
        <w:t xml:space="preserve"> Liu</w:t>
      </w:r>
      <w:r w:rsidRPr="00FE4A77">
        <w:rPr>
          <w:i/>
          <w:iCs/>
          <w:vertAlign w:val="superscript"/>
          <w:lang w:val="en-US"/>
        </w:rPr>
        <w:t>2</w:t>
      </w:r>
      <w:r w:rsidRPr="00FE4A77">
        <w:rPr>
          <w:i/>
          <w:iCs/>
          <w:lang w:val="en-US"/>
        </w:rPr>
        <w:t>, Martina Stenzel</w:t>
      </w:r>
      <w:r w:rsidRPr="00FE4A77">
        <w:rPr>
          <w:i/>
          <w:iCs/>
          <w:vertAlign w:val="superscript"/>
          <w:lang w:val="en-US"/>
        </w:rPr>
        <w:t>2,3</w:t>
      </w:r>
      <w:r w:rsidRPr="00FE4A77">
        <w:rPr>
          <w:i/>
          <w:iCs/>
          <w:lang w:val="en-US"/>
        </w:rPr>
        <w:t>, Kate Poole</w:t>
      </w:r>
      <w:r w:rsidRPr="00FE4A77">
        <w:rPr>
          <w:i/>
          <w:iCs/>
          <w:vertAlign w:val="superscript"/>
          <w:lang w:val="en-US"/>
        </w:rPr>
        <w:t>4</w:t>
      </w:r>
      <w:r w:rsidRPr="00FE4A77">
        <w:rPr>
          <w:i/>
          <w:iCs/>
          <w:lang w:val="en-US"/>
        </w:rPr>
        <w:t>, Kristopher A. Kilian</w:t>
      </w:r>
      <w:r w:rsidRPr="00FE4A77">
        <w:rPr>
          <w:i/>
          <w:iCs/>
          <w:vertAlign w:val="superscript"/>
          <w:lang w:val="en-US"/>
        </w:rPr>
        <w:t>1,2,3*</w:t>
      </w:r>
    </w:p>
    <w:p w14:paraId="483B5C70" w14:textId="77777777" w:rsidR="00FE4A77" w:rsidRPr="00FE4A77" w:rsidRDefault="00FE4A77" w:rsidP="00FE4A77">
      <w:pPr>
        <w:pStyle w:val="Paragraph"/>
        <w:spacing w:before="0"/>
        <w:ind w:firstLine="0"/>
        <w:rPr>
          <w:b/>
        </w:rPr>
      </w:pPr>
    </w:p>
    <w:p w14:paraId="2856180B" w14:textId="77777777" w:rsidR="00FE4A77" w:rsidRPr="00FE4A77" w:rsidRDefault="00FE4A77" w:rsidP="00FE4A77">
      <w:pPr>
        <w:pStyle w:val="Paragraph"/>
        <w:spacing w:before="0"/>
        <w:ind w:firstLine="0"/>
      </w:pPr>
      <w:r w:rsidRPr="00FE4A77">
        <w:rPr>
          <w:i/>
          <w:iCs/>
          <w:vertAlign w:val="superscript"/>
        </w:rPr>
        <w:t xml:space="preserve">1 </w:t>
      </w:r>
      <w:r w:rsidRPr="00FE4A77">
        <w:rPr>
          <w:i/>
          <w:iCs/>
        </w:rPr>
        <w:t xml:space="preserve"> School of Materials Science and Engineering, UNSW Sydney, Australia </w:t>
      </w:r>
      <w:r w:rsidRPr="00FE4A77">
        <w:rPr>
          <w:i/>
          <w:iCs/>
        </w:rPr>
        <w:br/>
      </w:r>
      <w:r w:rsidRPr="00FE4A77">
        <w:rPr>
          <w:i/>
          <w:iCs/>
          <w:vertAlign w:val="superscript"/>
        </w:rPr>
        <w:t>2</w:t>
      </w:r>
      <w:r w:rsidRPr="00FE4A77">
        <w:rPr>
          <w:i/>
          <w:iCs/>
        </w:rPr>
        <w:t xml:space="preserve">  School of Chemistry, UNSW Sydney, Australia</w:t>
      </w:r>
      <w:r w:rsidRPr="00FE4A77">
        <w:rPr>
          <w:i/>
          <w:iCs/>
        </w:rPr>
        <w:br/>
      </w:r>
      <w:r w:rsidRPr="00FE4A77">
        <w:rPr>
          <w:i/>
          <w:iCs/>
          <w:vertAlign w:val="superscript"/>
        </w:rPr>
        <w:t>3</w:t>
      </w:r>
      <w:r w:rsidRPr="00FE4A77">
        <w:rPr>
          <w:i/>
          <w:iCs/>
        </w:rPr>
        <w:t xml:space="preserve">  Australian Centre for Nanomedicine (ACN), UNSW Sydney, Australia </w:t>
      </w:r>
      <w:r w:rsidRPr="00FE4A77">
        <w:rPr>
          <w:i/>
          <w:iCs/>
        </w:rPr>
        <w:br/>
      </w:r>
      <w:r w:rsidRPr="00FE4A77">
        <w:rPr>
          <w:i/>
          <w:iCs/>
          <w:vertAlign w:val="superscript"/>
        </w:rPr>
        <w:t xml:space="preserve">4 </w:t>
      </w:r>
      <w:r w:rsidRPr="00FE4A77">
        <w:rPr>
          <w:i/>
          <w:iCs/>
        </w:rPr>
        <w:t xml:space="preserve"> School of Biomedical Sciences, UNSW Sydney, Australia</w:t>
      </w:r>
      <w:r w:rsidRPr="00FE4A77">
        <w:br/>
      </w:r>
      <w:r w:rsidRPr="00FE4A77">
        <w:br/>
      </w:r>
      <w:r w:rsidRPr="00FE4A77">
        <w:rPr>
          <w:vertAlign w:val="superscript"/>
        </w:rPr>
        <w:t>*</w:t>
      </w:r>
      <w:r w:rsidRPr="00FE4A77">
        <w:t xml:space="preserve"> Corresponding Authors: </w:t>
      </w:r>
      <w:hyperlink r:id="rId4" w:history="1">
        <w:r w:rsidRPr="00FE4A77">
          <w:rPr>
            <w:rStyle w:val="Hyperlink"/>
          </w:rPr>
          <w:t>g.silvani@unsw.edu.au</w:t>
        </w:r>
      </w:hyperlink>
      <w:r w:rsidRPr="00FE4A77">
        <w:t xml:space="preserve">; </w:t>
      </w:r>
      <w:hyperlink r:id="rId5" w:history="1">
        <w:r w:rsidRPr="00FE4A77">
          <w:rPr>
            <w:rStyle w:val="Hyperlink"/>
          </w:rPr>
          <w:t>k.kilian@unsw.edu.au</w:t>
        </w:r>
      </w:hyperlink>
    </w:p>
    <w:p w14:paraId="1B2D19A1" w14:textId="77777777" w:rsidR="00D2257E" w:rsidRPr="00FE4A77" w:rsidRDefault="00D2257E">
      <w:pPr>
        <w:rPr>
          <w:lang w:val="en-US"/>
        </w:rPr>
      </w:pPr>
    </w:p>
    <w:p w14:paraId="0F5DC883" w14:textId="77777777" w:rsidR="00FE4A77" w:rsidRPr="00FE4A77" w:rsidRDefault="00FE4A77">
      <w:pPr>
        <w:rPr>
          <w:lang w:val="en-US"/>
        </w:rPr>
      </w:pPr>
    </w:p>
    <w:p w14:paraId="13480A44" w14:textId="77777777" w:rsidR="00FE4A77" w:rsidRPr="00137F45" w:rsidRDefault="00FE4A77" w:rsidP="00FE4A77">
      <w:pPr>
        <w:rPr>
          <w:b/>
          <w:lang w:val="en-US"/>
        </w:rPr>
      </w:pPr>
    </w:p>
    <w:p w14:paraId="4DBE88A7" w14:textId="77777777" w:rsidR="00FE4A77" w:rsidRPr="00137F45" w:rsidRDefault="00FE4A77" w:rsidP="00FE4A77">
      <w:pPr>
        <w:rPr>
          <w:bCs/>
          <w:lang w:val="en-US"/>
        </w:rPr>
      </w:pPr>
      <w:r w:rsidRPr="00137F45">
        <w:rPr>
          <w:bCs/>
          <w:lang w:val="en-US"/>
        </w:rPr>
        <w:t xml:space="preserve">Supplementary Material </w:t>
      </w:r>
      <w:proofErr w:type="spellStart"/>
      <w:r w:rsidRPr="00137F45">
        <w:rPr>
          <w:bCs/>
          <w:lang w:val="en-US"/>
        </w:rPr>
        <w:t>fro</w:t>
      </w:r>
      <w:proofErr w:type="spellEnd"/>
      <w:r w:rsidRPr="00137F45">
        <w:rPr>
          <w:bCs/>
          <w:lang w:val="en-US"/>
        </w:rPr>
        <w:t xml:space="preserve"> this </w:t>
      </w:r>
      <w:proofErr w:type="spellStart"/>
      <w:r w:rsidRPr="00137F45">
        <w:rPr>
          <w:bCs/>
          <w:lang w:val="en-US"/>
        </w:rPr>
        <w:t>mauscript</w:t>
      </w:r>
      <w:proofErr w:type="spellEnd"/>
      <w:r w:rsidRPr="00137F45">
        <w:rPr>
          <w:bCs/>
          <w:lang w:val="en-US"/>
        </w:rPr>
        <w:t xml:space="preserve"> include the following: </w:t>
      </w:r>
    </w:p>
    <w:p w14:paraId="218D401E" w14:textId="77777777" w:rsidR="00FE4A77" w:rsidRPr="00137F45" w:rsidRDefault="00FE4A77" w:rsidP="00FE4A77">
      <w:pPr>
        <w:rPr>
          <w:lang w:val="en-US"/>
        </w:rPr>
      </w:pPr>
    </w:p>
    <w:p w14:paraId="42E18362" w14:textId="1B5D5B3A" w:rsidR="00FE4A77" w:rsidRDefault="00FE4A77" w:rsidP="00FE4A77">
      <w:pPr>
        <w:rPr>
          <w:lang w:val="en-US"/>
        </w:rPr>
      </w:pPr>
      <w:r w:rsidRPr="00137F45">
        <w:rPr>
          <w:lang w:val="en-US"/>
        </w:rPr>
        <w:t>Figs. S1 to S</w:t>
      </w:r>
      <w:r>
        <w:rPr>
          <w:lang w:val="en-US"/>
        </w:rPr>
        <w:t>3</w:t>
      </w:r>
    </w:p>
    <w:p w14:paraId="6EC9F60B" w14:textId="77777777" w:rsidR="00FE4A77" w:rsidRDefault="00FE4A77" w:rsidP="00FE4A77">
      <w:pPr>
        <w:rPr>
          <w:lang w:val="en-US"/>
        </w:rPr>
      </w:pPr>
    </w:p>
    <w:p w14:paraId="3A554BA4" w14:textId="5CD09599" w:rsidR="00FE4A77" w:rsidRPr="00137F45" w:rsidRDefault="00FE4A77" w:rsidP="00FE4A77">
      <w:pPr>
        <w:rPr>
          <w:lang w:val="en-US"/>
        </w:rPr>
      </w:pPr>
      <w:r w:rsidRPr="00137F45">
        <w:rPr>
          <w:noProof/>
          <w:lang w:val="en-US"/>
        </w:rPr>
        <w:drawing>
          <wp:anchor distT="0" distB="0" distL="114300" distR="114300" simplePos="0" relativeHeight="251659264" behindDoc="0" locked="0" layoutInCell="1" allowOverlap="1" wp14:anchorId="4907E62C" wp14:editId="4F160CC9">
            <wp:simplePos x="0" y="0"/>
            <wp:positionH relativeFrom="column">
              <wp:posOffset>0</wp:posOffset>
            </wp:positionH>
            <wp:positionV relativeFrom="paragraph">
              <wp:posOffset>177800</wp:posOffset>
            </wp:positionV>
            <wp:extent cx="5552440" cy="3044804"/>
            <wp:effectExtent l="0" t="0" r="0" b="3810"/>
            <wp:wrapSquare wrapText="bothSides"/>
            <wp:docPr id="12334279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27997"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52440" cy="3044804"/>
                    </a:xfrm>
                    <a:prstGeom prst="rect">
                      <a:avLst/>
                    </a:prstGeom>
                  </pic:spPr>
                </pic:pic>
              </a:graphicData>
            </a:graphic>
          </wp:anchor>
        </w:drawing>
      </w:r>
    </w:p>
    <w:p w14:paraId="460CD9FD" w14:textId="77777777" w:rsidR="00FE4A77" w:rsidRPr="00FE4A77" w:rsidRDefault="00FE4A77">
      <w:pPr>
        <w:rPr>
          <w:lang w:val="en-US"/>
        </w:rPr>
      </w:pPr>
    </w:p>
    <w:p w14:paraId="5E6A03CC" w14:textId="77777777" w:rsidR="00FE4A77" w:rsidRDefault="00FE4A77" w:rsidP="00FE4A77">
      <w:pPr>
        <w:jc w:val="center"/>
        <w:rPr>
          <w:b/>
          <w:bCs/>
          <w:lang w:val="en-US"/>
        </w:rPr>
      </w:pPr>
    </w:p>
    <w:p w14:paraId="0EC8226A" w14:textId="23A1822A" w:rsidR="00FE4A77" w:rsidRDefault="00FE4A77" w:rsidP="00FE4A77">
      <w:pPr>
        <w:tabs>
          <w:tab w:val="left" w:pos="2063"/>
        </w:tabs>
        <w:spacing w:line="276" w:lineRule="auto"/>
        <w:jc w:val="both"/>
        <w:rPr>
          <w:lang w:val="en-US"/>
        </w:rPr>
      </w:pPr>
      <w:r w:rsidRPr="00137F45">
        <w:rPr>
          <w:b/>
          <w:bCs/>
          <w:lang w:val="en-US"/>
        </w:rPr>
        <w:t>Fig.  S1. Structural confirmation of norbornene-</w:t>
      </w:r>
      <w:r w:rsidRPr="00137F45">
        <w:rPr>
          <w:b/>
          <w:bCs/>
          <w:lang w:val="en-US"/>
        </w:rPr>
        <w:t>functionalized</w:t>
      </w:r>
      <w:r w:rsidRPr="00137F45">
        <w:rPr>
          <w:b/>
          <w:bCs/>
          <w:lang w:val="en-US"/>
        </w:rPr>
        <w:t xml:space="preserve"> hyaluronic acid (NorHA) by ¹H NMR spectroscopy. </w:t>
      </w:r>
      <w:r w:rsidRPr="00137F45">
        <w:rPr>
          <w:lang w:val="en-US"/>
        </w:rPr>
        <w:t xml:space="preserve">Representative ¹H NMR spectrum of the modified polymer showing the characteristic resonances associated with norbornene functional groups alongside the native proton signals of the hyaluronic acid backbone. The appearance of distinct olefinic signals in the downfield region confirms successful incorporation of the norbornene moieties, while the broad </w:t>
      </w:r>
      <w:proofErr w:type="spellStart"/>
      <w:r w:rsidRPr="00137F45">
        <w:rPr>
          <w:lang w:val="en-US"/>
        </w:rPr>
        <w:t>multiplet</w:t>
      </w:r>
      <w:proofErr w:type="spellEnd"/>
      <w:r w:rsidRPr="00137F45">
        <w:rPr>
          <w:lang w:val="en-US"/>
        </w:rPr>
        <w:t xml:space="preserve"> region corresponds to protons from the polysaccharide backbone. </w:t>
      </w:r>
      <w:r w:rsidRPr="00137F45">
        <w:rPr>
          <w:lang w:val="en-US"/>
        </w:rPr>
        <w:lastRenderedPageBreak/>
        <w:t>The schematic structure of the modified repeat unit is shown for reference, illustrating the chemical modification of hyaluronic acid with norbornene groups.</w:t>
      </w:r>
    </w:p>
    <w:p w14:paraId="743F458E" w14:textId="77777777" w:rsidR="00101CDB" w:rsidRDefault="00101CDB" w:rsidP="00FE4A77">
      <w:pPr>
        <w:tabs>
          <w:tab w:val="left" w:pos="2063"/>
        </w:tabs>
        <w:spacing w:line="276" w:lineRule="auto"/>
        <w:jc w:val="both"/>
        <w:rPr>
          <w:lang w:val="en-US"/>
        </w:rPr>
      </w:pPr>
    </w:p>
    <w:p w14:paraId="04B5A453" w14:textId="77777777" w:rsidR="00101CDB" w:rsidRDefault="00101CDB" w:rsidP="00FE4A77">
      <w:pPr>
        <w:tabs>
          <w:tab w:val="left" w:pos="2063"/>
        </w:tabs>
        <w:spacing w:line="276" w:lineRule="auto"/>
        <w:jc w:val="both"/>
        <w:rPr>
          <w:lang w:val="en-US"/>
        </w:rPr>
      </w:pPr>
    </w:p>
    <w:p w14:paraId="6BD3A2CB" w14:textId="428D3B81" w:rsidR="00FE4A77" w:rsidRDefault="00101CDB" w:rsidP="00FE4A77">
      <w:pPr>
        <w:tabs>
          <w:tab w:val="left" w:pos="2063"/>
        </w:tabs>
        <w:spacing w:line="276" w:lineRule="auto"/>
        <w:jc w:val="both"/>
        <w:rPr>
          <w:lang w:val="en-US"/>
        </w:rPr>
      </w:pPr>
      <w:r>
        <w:rPr>
          <w:noProof/>
          <w:lang w:val="en-US"/>
          <w14:ligatures w14:val="standardContextual"/>
        </w:rPr>
        <w:drawing>
          <wp:inline distT="0" distB="0" distL="0" distR="0" wp14:anchorId="3F30989C" wp14:editId="3A0622A3">
            <wp:extent cx="4292600" cy="2997200"/>
            <wp:effectExtent l="0" t="0" r="0" b="0"/>
            <wp:docPr id="450906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06641" name="Picture 450906641"/>
                    <pic:cNvPicPr/>
                  </pic:nvPicPr>
                  <pic:blipFill>
                    <a:blip r:embed="rId7"/>
                    <a:stretch>
                      <a:fillRect/>
                    </a:stretch>
                  </pic:blipFill>
                  <pic:spPr>
                    <a:xfrm>
                      <a:off x="0" y="0"/>
                      <a:ext cx="4292600" cy="2997200"/>
                    </a:xfrm>
                    <a:prstGeom prst="rect">
                      <a:avLst/>
                    </a:prstGeom>
                  </pic:spPr>
                </pic:pic>
              </a:graphicData>
            </a:graphic>
          </wp:inline>
        </w:drawing>
      </w:r>
    </w:p>
    <w:p w14:paraId="2D58FE2B" w14:textId="77777777" w:rsidR="00FE4A77" w:rsidRDefault="00FE4A77" w:rsidP="00FE4A77">
      <w:pPr>
        <w:tabs>
          <w:tab w:val="left" w:pos="2063"/>
        </w:tabs>
        <w:spacing w:line="276" w:lineRule="auto"/>
        <w:jc w:val="both"/>
        <w:rPr>
          <w:lang w:val="en-US"/>
        </w:rPr>
      </w:pPr>
    </w:p>
    <w:p w14:paraId="7F3A559F" w14:textId="3FE530AE" w:rsidR="00FE4A77" w:rsidRPr="00101CDB" w:rsidRDefault="00FE4A77" w:rsidP="00FE4A77">
      <w:pPr>
        <w:tabs>
          <w:tab w:val="left" w:pos="2063"/>
        </w:tabs>
        <w:spacing w:line="276" w:lineRule="auto"/>
        <w:jc w:val="both"/>
        <w:rPr>
          <w:b/>
          <w:bCs/>
          <w:lang w:val="en-US"/>
        </w:rPr>
      </w:pPr>
    </w:p>
    <w:p w14:paraId="09303B8F" w14:textId="510E66B7" w:rsidR="00101CDB" w:rsidRPr="00101CDB" w:rsidRDefault="00101CDB" w:rsidP="00101CDB">
      <w:pPr>
        <w:spacing w:line="276" w:lineRule="auto"/>
        <w:jc w:val="both"/>
        <w:rPr>
          <w:lang w:val="en-US"/>
        </w:rPr>
      </w:pPr>
      <w:r w:rsidRPr="00101CDB">
        <w:rPr>
          <w:rStyle w:val="Strong"/>
          <w:lang w:val="en-US"/>
        </w:rPr>
        <w:t>Fig. S2. αvβ3-integrin Inhibition does not restore glioblastoma invasion under simulated microgravity.</w:t>
      </w:r>
      <w:r w:rsidRPr="00101CDB">
        <w:rPr>
          <w:lang w:val="en-US"/>
        </w:rPr>
        <w:t xml:space="preserve"> </w:t>
      </w:r>
      <w:r w:rsidRPr="00101CDB">
        <w:rPr>
          <w:b/>
          <w:bCs/>
          <w:lang w:val="en-US"/>
        </w:rPr>
        <w:t>(A)</w:t>
      </w:r>
      <w:r w:rsidRPr="00101CDB">
        <w:rPr>
          <w:lang w:val="en-US"/>
        </w:rPr>
        <w:t xml:space="preserve"> Representative fluorescence images of U87 spheroids cultured in adhesive, degradable NorHA matrices under normal gravity (1g) or simulated microgravity (µg) following αvβ3-integrin inhibition. F-actin is shown by phalloidin staining (yellow) and nuclei by DAPI (blue). Scale bar, 150 µm. </w:t>
      </w:r>
      <w:r w:rsidRPr="00101CDB">
        <w:rPr>
          <w:b/>
          <w:bCs/>
          <w:lang w:val="en-US"/>
        </w:rPr>
        <w:t>(B)</w:t>
      </w:r>
      <w:r w:rsidRPr="00101CDB">
        <w:rPr>
          <w:lang w:val="en-US"/>
        </w:rPr>
        <w:t xml:space="preserve"> Quantification of invading cells under control and αvβ3-inhibited conditions. αvβ3 inhibition reduced invasion under 1g but did not significantly alter dissemination under simulated microgravity. Data are presented as mean ± SEM from </w:t>
      </w:r>
      <w:r>
        <w:rPr>
          <w:lang w:val="en-US"/>
        </w:rPr>
        <w:t xml:space="preserve">at least </w:t>
      </w:r>
      <w:r w:rsidRPr="00101CDB">
        <w:rPr>
          <w:lang w:val="en-US"/>
        </w:rPr>
        <w:t xml:space="preserve">3 independent experiments. </w:t>
      </w:r>
    </w:p>
    <w:p w14:paraId="10DEB856" w14:textId="77777777" w:rsidR="00FE4A77" w:rsidRDefault="00FE4A77" w:rsidP="00FE4A77">
      <w:pPr>
        <w:jc w:val="center"/>
        <w:rPr>
          <w:b/>
          <w:bCs/>
          <w:lang w:val="en-US"/>
        </w:rPr>
      </w:pPr>
    </w:p>
    <w:p w14:paraId="7684D885" w14:textId="77777777" w:rsidR="00FE4A77" w:rsidRDefault="00FE4A77" w:rsidP="00FE4A77">
      <w:pPr>
        <w:jc w:val="center"/>
        <w:rPr>
          <w:b/>
          <w:bCs/>
          <w:lang w:val="en-US"/>
        </w:rPr>
      </w:pPr>
    </w:p>
    <w:p w14:paraId="2095EC12" w14:textId="328E258A" w:rsidR="00FE4A77" w:rsidRDefault="00FE4A77" w:rsidP="00FE4A77">
      <w:pPr>
        <w:jc w:val="center"/>
        <w:rPr>
          <w:b/>
          <w:bCs/>
          <w:lang w:val="en-US"/>
        </w:rPr>
      </w:pPr>
      <w:r w:rsidRPr="00137F45">
        <w:rPr>
          <w:b/>
          <w:bCs/>
          <w:noProof/>
          <w:lang w:val="en-US"/>
        </w:rPr>
        <w:lastRenderedPageBreak/>
        <w:drawing>
          <wp:inline distT="0" distB="0" distL="0" distR="0" wp14:anchorId="1242DF0D" wp14:editId="2A73A6E1">
            <wp:extent cx="5384800" cy="4188178"/>
            <wp:effectExtent l="0" t="0" r="0" b="3175"/>
            <wp:docPr id="128972619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26191" name="Picture 1289726191"/>
                    <pic:cNvPicPr/>
                  </pic:nvPicPr>
                  <pic:blipFill>
                    <a:blip r:embed="rId8"/>
                    <a:stretch>
                      <a:fillRect/>
                    </a:stretch>
                  </pic:blipFill>
                  <pic:spPr>
                    <a:xfrm>
                      <a:off x="0" y="0"/>
                      <a:ext cx="5404828" cy="4203755"/>
                    </a:xfrm>
                    <a:prstGeom prst="rect">
                      <a:avLst/>
                    </a:prstGeom>
                  </pic:spPr>
                </pic:pic>
              </a:graphicData>
            </a:graphic>
          </wp:inline>
        </w:drawing>
      </w:r>
    </w:p>
    <w:p w14:paraId="483FAB6B" w14:textId="77777777" w:rsidR="00FE4A77" w:rsidRPr="00137F45" w:rsidRDefault="00FE4A77" w:rsidP="00FE4A77">
      <w:pPr>
        <w:pStyle w:val="SMHeading"/>
        <w:spacing w:line="276" w:lineRule="auto"/>
        <w:jc w:val="both"/>
        <w:rPr>
          <w:b w:val="0"/>
          <w:bCs w:val="0"/>
        </w:rPr>
      </w:pPr>
      <w:r w:rsidRPr="00137F45">
        <w:t>Fig.  S3. Proteomic profiling reveals microgravity-associated changes in vesicle-related proteins.</w:t>
      </w:r>
      <w:r w:rsidRPr="00137F45">
        <w:rPr>
          <w:b w:val="0"/>
          <w:bCs w:val="0"/>
        </w:rPr>
        <w:t xml:space="preserve"> </w:t>
      </w:r>
      <w:r w:rsidRPr="00137F45">
        <w:t xml:space="preserve">(A) </w:t>
      </w:r>
      <w:r w:rsidRPr="00137F45">
        <w:rPr>
          <w:b w:val="0"/>
          <w:bCs w:val="0"/>
        </w:rPr>
        <w:t xml:space="preserve">Volcano plot showing differential protein abundance in conditioned media collected from GBM spheroids cultured under simulated microgravity compared with normal gravity conditions. The x-axis represents the log₂ fold change (microgravity/gravity), and the y-axis shows the –log₁₀(p-value). Dashed lines indicate statistical and fold-change thresholds used to identify differentially expressed proteins. Proteins significantly upregulated under simulated microgravity are highlighted in orange. </w:t>
      </w:r>
      <w:r w:rsidRPr="00137F45">
        <w:t>(B)</w:t>
      </w:r>
      <w:r w:rsidRPr="00137F45">
        <w:rPr>
          <w:b w:val="0"/>
          <w:bCs w:val="0"/>
        </w:rPr>
        <w:t xml:space="preserve"> Quantification of extracellular </w:t>
      </w:r>
      <w:proofErr w:type="spellStart"/>
      <w:r w:rsidRPr="00137F45">
        <w:rPr>
          <w:b w:val="0"/>
          <w:bCs w:val="0"/>
        </w:rPr>
        <w:t>vesicles</w:t>
      </w:r>
      <w:proofErr w:type="spellEnd"/>
      <w:r w:rsidRPr="00137F45">
        <w:rPr>
          <w:b w:val="0"/>
          <w:bCs w:val="0"/>
        </w:rPr>
        <w:t xml:space="preserve"> (EVs) from spheroids cultured under simulated microgravity compared with normal gravity controls. </w:t>
      </w:r>
      <w:r w:rsidRPr="00137F45">
        <w:t>(C)</w:t>
      </w:r>
      <w:r w:rsidRPr="00137F45">
        <w:rPr>
          <w:b w:val="0"/>
          <w:bCs w:val="0"/>
        </w:rPr>
        <w:t xml:space="preserve"> Size distribution of EVs showing no difference between the two groups. </w:t>
      </w:r>
      <w:r w:rsidRPr="00137F45">
        <w:t>(D)</w:t>
      </w:r>
      <w:r w:rsidRPr="00137F45">
        <w:rPr>
          <w:b w:val="0"/>
          <w:bCs w:val="0"/>
        </w:rPr>
        <w:t xml:space="preserve"> Quantification of EVs size from spheroids cultured under simulated microgravity and normal gravity. Data are presented as mean ± S.D. from 6 independent experiments</w:t>
      </w:r>
    </w:p>
    <w:p w14:paraId="07C141BB" w14:textId="77777777" w:rsidR="00FE4A77" w:rsidRPr="00FE4A77" w:rsidRDefault="00FE4A77" w:rsidP="00FE4A77">
      <w:pPr>
        <w:jc w:val="center"/>
        <w:rPr>
          <w:b/>
          <w:bCs/>
          <w:lang w:val="en-US"/>
        </w:rPr>
      </w:pPr>
    </w:p>
    <w:sectPr w:rsidR="00FE4A77" w:rsidRPr="00FE4A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A77"/>
    <w:rsid w:val="000842DB"/>
    <w:rsid w:val="000C3088"/>
    <w:rsid w:val="00101CDB"/>
    <w:rsid w:val="001937CD"/>
    <w:rsid w:val="001B7DF2"/>
    <w:rsid w:val="001F67BF"/>
    <w:rsid w:val="0020756D"/>
    <w:rsid w:val="002D0C14"/>
    <w:rsid w:val="0030520D"/>
    <w:rsid w:val="003722DC"/>
    <w:rsid w:val="0039136F"/>
    <w:rsid w:val="00505D0A"/>
    <w:rsid w:val="005675DB"/>
    <w:rsid w:val="00581C91"/>
    <w:rsid w:val="00585384"/>
    <w:rsid w:val="005A40ED"/>
    <w:rsid w:val="005B76CC"/>
    <w:rsid w:val="00687F20"/>
    <w:rsid w:val="006C3221"/>
    <w:rsid w:val="006C39F1"/>
    <w:rsid w:val="006D40E8"/>
    <w:rsid w:val="007839B7"/>
    <w:rsid w:val="007A3C14"/>
    <w:rsid w:val="007B0513"/>
    <w:rsid w:val="007B46C1"/>
    <w:rsid w:val="00802897"/>
    <w:rsid w:val="00833256"/>
    <w:rsid w:val="0086285C"/>
    <w:rsid w:val="00905537"/>
    <w:rsid w:val="00922CF6"/>
    <w:rsid w:val="00956B56"/>
    <w:rsid w:val="009F4B61"/>
    <w:rsid w:val="00A12D00"/>
    <w:rsid w:val="00A432D6"/>
    <w:rsid w:val="00B52254"/>
    <w:rsid w:val="00B80256"/>
    <w:rsid w:val="00BA1006"/>
    <w:rsid w:val="00BA4C6B"/>
    <w:rsid w:val="00C3736B"/>
    <w:rsid w:val="00CA3511"/>
    <w:rsid w:val="00CF2DF9"/>
    <w:rsid w:val="00D2257E"/>
    <w:rsid w:val="00DE1E88"/>
    <w:rsid w:val="00E057E7"/>
    <w:rsid w:val="00E47A1E"/>
    <w:rsid w:val="00EB673D"/>
    <w:rsid w:val="00ED0ADB"/>
    <w:rsid w:val="00F25F2E"/>
    <w:rsid w:val="00F26684"/>
    <w:rsid w:val="00F44909"/>
    <w:rsid w:val="00FE4A77"/>
    <w:rsid w:val="00FF03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78C0AAB"/>
  <w15:chartTrackingRefBased/>
  <w15:docId w15:val="{64D95CFF-4BF5-3640-AB7F-D331F30D5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A77"/>
    <w:pPr>
      <w:spacing w:after="0" w:line="240" w:lineRule="auto"/>
    </w:pPr>
    <w:rPr>
      <w:rFonts w:ascii="Times New Roman" w:eastAsia="MS Mincho" w:hAnsi="Times New Roman" w:cs="Times New Roman"/>
      <w:kern w:val="0"/>
      <w:lang w:val="de-DE" w:eastAsia="ja-JP"/>
      <w14:ligatures w14:val="none"/>
    </w:rPr>
  </w:style>
  <w:style w:type="paragraph" w:styleId="Heading1">
    <w:name w:val="heading 1"/>
    <w:basedOn w:val="Normal"/>
    <w:next w:val="Normal"/>
    <w:link w:val="Heading1Char"/>
    <w:uiPriority w:val="9"/>
    <w:qFormat/>
    <w:rsid w:val="00FE4A7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FE4A7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FE4A7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FE4A7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FE4A7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FE4A77"/>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FE4A77"/>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FE4A77"/>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FE4A77"/>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A77"/>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FE4A77"/>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FE4A77"/>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FE4A77"/>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FE4A77"/>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FE4A77"/>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FE4A77"/>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FE4A77"/>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FE4A77"/>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FE4A77"/>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FE4A7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FE4A7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FE4A7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FE4A77"/>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FE4A77"/>
    <w:rPr>
      <w:i/>
      <w:iCs/>
      <w:color w:val="404040" w:themeColor="text1" w:themeTint="BF"/>
      <w:lang w:val="en-US"/>
    </w:rPr>
  </w:style>
  <w:style w:type="paragraph" w:styleId="ListParagraph">
    <w:name w:val="List Paragraph"/>
    <w:basedOn w:val="Normal"/>
    <w:uiPriority w:val="34"/>
    <w:qFormat/>
    <w:rsid w:val="00FE4A77"/>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FE4A77"/>
    <w:rPr>
      <w:i/>
      <w:iCs/>
      <w:color w:val="0F4761" w:themeColor="accent1" w:themeShade="BF"/>
    </w:rPr>
  </w:style>
  <w:style w:type="paragraph" w:styleId="IntenseQuote">
    <w:name w:val="Intense Quote"/>
    <w:basedOn w:val="Normal"/>
    <w:next w:val="Normal"/>
    <w:link w:val="IntenseQuoteChar"/>
    <w:uiPriority w:val="30"/>
    <w:qFormat/>
    <w:rsid w:val="00FE4A7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FE4A77"/>
    <w:rPr>
      <w:i/>
      <w:iCs/>
      <w:color w:val="0F4761" w:themeColor="accent1" w:themeShade="BF"/>
      <w:lang w:val="en-US"/>
    </w:rPr>
  </w:style>
  <w:style w:type="character" w:styleId="IntenseReference">
    <w:name w:val="Intense Reference"/>
    <w:basedOn w:val="DefaultParagraphFont"/>
    <w:uiPriority w:val="32"/>
    <w:qFormat/>
    <w:rsid w:val="00FE4A77"/>
    <w:rPr>
      <w:b/>
      <w:bCs/>
      <w:smallCaps/>
      <w:color w:val="0F4761" w:themeColor="accent1" w:themeShade="BF"/>
      <w:spacing w:val="5"/>
    </w:rPr>
  </w:style>
  <w:style w:type="paragraph" w:customStyle="1" w:styleId="Tableofcontents">
    <w:name w:val="Table of contents"/>
    <w:basedOn w:val="Normal"/>
    <w:autoRedefine/>
    <w:rsid w:val="00FE4A77"/>
    <w:rPr>
      <w:lang w:val="en-US"/>
    </w:rPr>
  </w:style>
  <w:style w:type="character" w:styleId="Hyperlink">
    <w:name w:val="Hyperlink"/>
    <w:basedOn w:val="DefaultParagraphFont"/>
    <w:uiPriority w:val="99"/>
    <w:unhideWhenUsed/>
    <w:rsid w:val="00FE4A77"/>
    <w:rPr>
      <w:color w:val="467886" w:themeColor="hyperlink"/>
      <w:u w:val="single"/>
    </w:rPr>
  </w:style>
  <w:style w:type="paragraph" w:customStyle="1" w:styleId="Head">
    <w:name w:val="Head"/>
    <w:basedOn w:val="Normal"/>
    <w:rsid w:val="00FE4A77"/>
    <w:pPr>
      <w:keepNext/>
      <w:spacing w:before="120" w:after="120"/>
      <w:jc w:val="center"/>
      <w:outlineLvl w:val="0"/>
    </w:pPr>
    <w:rPr>
      <w:rFonts w:eastAsia="Times New Roman"/>
      <w:b/>
      <w:bCs/>
      <w:kern w:val="28"/>
      <w:sz w:val="28"/>
      <w:szCs w:val="28"/>
      <w:lang w:val="en-US" w:eastAsia="en-US"/>
    </w:rPr>
  </w:style>
  <w:style w:type="paragraph" w:customStyle="1" w:styleId="Paragraph">
    <w:name w:val="Paragraph"/>
    <w:basedOn w:val="Normal"/>
    <w:rsid w:val="00FE4A77"/>
    <w:pPr>
      <w:spacing w:before="120"/>
      <w:ind w:firstLine="720"/>
    </w:pPr>
    <w:rPr>
      <w:rFonts w:eastAsia="Times New Roman"/>
      <w:lang w:val="en-US" w:eastAsia="en-US"/>
    </w:rPr>
  </w:style>
  <w:style w:type="paragraph" w:customStyle="1" w:styleId="Acknowledgements">
    <w:name w:val="Acknowledgements"/>
    <w:basedOn w:val="Normal"/>
    <w:rsid w:val="00FE4A77"/>
    <w:rPr>
      <w:lang w:val="en-US"/>
    </w:rPr>
  </w:style>
  <w:style w:type="paragraph" w:customStyle="1" w:styleId="SMHeading">
    <w:name w:val="SM Heading"/>
    <w:basedOn w:val="Heading1"/>
    <w:qFormat/>
    <w:rsid w:val="00FE4A77"/>
    <w:pPr>
      <w:keepLines w:val="0"/>
      <w:spacing w:before="240" w:after="60" w:line="240" w:lineRule="auto"/>
    </w:pPr>
    <w:rPr>
      <w:rFonts w:ascii="Times New Roman" w:eastAsia="Times New Roman" w:hAnsi="Times New Roman" w:cs="Times New Roman"/>
      <w:b/>
      <w:bCs/>
      <w:color w:val="auto"/>
      <w:kern w:val="32"/>
      <w:sz w:val="24"/>
      <w:szCs w:val="24"/>
      <w14:ligatures w14:val="none"/>
    </w:rPr>
  </w:style>
  <w:style w:type="character" w:styleId="Strong">
    <w:name w:val="Strong"/>
    <w:basedOn w:val="DefaultParagraphFont"/>
    <w:uiPriority w:val="22"/>
    <w:qFormat/>
    <w:rsid w:val="00101C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k.kilian@unsw.edu.au" TargetMode="External"/><Relationship Id="rId10" Type="http://schemas.openxmlformats.org/officeDocument/2006/relationships/theme" Target="theme/theme1.xml"/><Relationship Id="rId4" Type="http://schemas.openxmlformats.org/officeDocument/2006/relationships/hyperlink" Target="mailto:g.silvani@unsw.edu.a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469</Words>
  <Characters>2676</Characters>
  <Application>Microsoft Office Word</Application>
  <DocSecurity>0</DocSecurity>
  <Lines>22</Lines>
  <Paragraphs>6</Paragraphs>
  <ScaleCrop>false</ScaleCrop>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Scientific Editor</dc:creator>
  <cp:keywords/>
  <dc:description/>
  <cp:lastModifiedBy>Scientific Editor</cp:lastModifiedBy>
  <cp:revision>2</cp:revision>
  <dcterms:created xsi:type="dcterms:W3CDTF">2026-09-08T03:36:00Z</dcterms:created>
  <dcterms:modified xsi:type="dcterms:W3CDTF">2026-09-08T03:44:00Z</dcterms:modified>
</cp:coreProperties>
</file>