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uto"/>
        <w:jc w:val="left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8"/>
          <w:shd w:val="clear" w:color="auto" w:fill="FFFFFF"/>
          <w:lang w:val="en-US" w:eastAsia="zh-CN" w:bidi="ar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8"/>
          <w:shd w:val="clear" w:color="auto" w:fill="FFFFFF"/>
          <w:lang w:bidi="ar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8"/>
          <w:shd w:val="clear" w:color="auto" w:fill="FFFFFF"/>
          <w:lang w:val="en-US" w:eastAsia="zh-CN" w:bidi="ar"/>
        </w:rPr>
        <w:t>M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8"/>
          <w:shd w:val="clear" w:color="auto" w:fill="FFFFFF"/>
          <w:lang w:bidi="ar"/>
        </w:rPr>
        <w:t>aterial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8"/>
          <w:shd w:val="clear" w:color="auto" w:fill="FFFFFF"/>
          <w:lang w:val="en-US" w:eastAsia="zh-CN" w:bidi="ar"/>
        </w:rPr>
        <w:t>s</w:t>
      </w:r>
    </w:p>
    <w:p>
      <w:pPr>
        <w:spacing w:line="48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Table </w:t>
      </w:r>
      <w:r>
        <w:rPr>
          <w:rFonts w:hint="eastAsia" w:ascii="Times New Roman" w:hAnsi="Times New Roman" w:cs="Times New Roman"/>
          <w:b/>
          <w:sz w:val="20"/>
        </w:rPr>
        <w:t>S1</w:t>
      </w:r>
      <w:r>
        <w:rPr>
          <w:rFonts w:ascii="Times New Roman" w:hAnsi="Times New Roman" w:cs="Times New Roman"/>
          <w:sz w:val="20"/>
        </w:rPr>
        <w:t xml:space="preserve"> Descriptive statistics of meteorological and air pollutant exposure levels</w:t>
      </w:r>
      <w:r>
        <w:rPr>
          <w:rFonts w:hint="eastAsia" w:ascii="Times New Roman" w:hAnsi="Times New Roman" w:cs="Times New Roman"/>
          <w:sz w:val="20"/>
        </w:rPr>
        <w:t>.</w:t>
      </w:r>
    </w:p>
    <w:p>
      <w:pPr>
        <w:spacing w:line="480" w:lineRule="auto"/>
        <w:rPr>
          <w:rFonts w:ascii="Times New Roman" w:hAnsi="Times New Roman" w:eastAsia="宋体" w:cs="Times New Roman"/>
          <w:color w:val="0F1115"/>
          <w:sz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0"/>
        </w:rPr>
        <w:t>Table S</w:t>
      </w:r>
      <w:r>
        <w:rPr>
          <w:rFonts w:hint="eastAsia" w:ascii="Times New Roman" w:hAnsi="Times New Roman" w:cs="Times New Roman"/>
          <w:b/>
          <w:bCs/>
          <w:sz w:val="20"/>
        </w:rPr>
        <w:t>2</w:t>
      </w:r>
      <w:r>
        <w:rPr>
          <w:rFonts w:ascii="Times New Roman" w:hAnsi="Times New Roman" w:cs="Times New Roman"/>
          <w:b/>
          <w:bCs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Spearman correlation between single meteorological factor and air pollutants and children 's food allergy risk in 2022.</w:t>
      </w:r>
    </w:p>
    <w:p>
      <w:pPr>
        <w:widowControl/>
        <w:spacing w:line="480" w:lineRule="auto"/>
        <w:jc w:val="left"/>
        <w:rPr>
          <w:rFonts w:ascii="Times New Roman" w:hAnsi="Times New Roman" w:eastAsia="URWPalladioL-Roma" w:cs="Times New Roman"/>
          <w:color w:val="000000"/>
          <w:kern w:val="0"/>
          <w:sz w:val="20"/>
          <w:lang w:bidi="ar"/>
        </w:rPr>
      </w:pPr>
      <w:r>
        <w:rPr>
          <w:rFonts w:ascii="Times New Roman" w:hAnsi="Times New Roman" w:eastAsia="URWPalladioL-Roma" w:cs="Times New Roman"/>
          <w:b/>
          <w:bCs/>
          <w:color w:val="000000"/>
          <w:kern w:val="0"/>
          <w:sz w:val="20"/>
          <w:lang w:bidi="ar"/>
        </w:rPr>
        <w:t>Table S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lang w:bidi="ar"/>
        </w:rPr>
        <w:t>3</w:t>
      </w:r>
      <w:r>
        <w:rPr>
          <w:rFonts w:ascii="Times New Roman" w:hAnsi="Times New Roman" w:eastAsia="URWPalladioL-Roma" w:cs="Times New Roman"/>
          <w:color w:val="000000"/>
          <w:kern w:val="0"/>
          <w:sz w:val="20"/>
          <w:lang w:bidi="ar"/>
        </w:rPr>
        <w:t xml:space="preserve"> Multivariate logistic regression analysis of environmental factors and children 's food allergy after adjusting for confounding factors.</w:t>
      </w:r>
    </w:p>
    <w:p>
      <w:pPr>
        <w:widowControl/>
        <w:spacing w:line="480" w:lineRule="auto"/>
        <w:jc w:val="left"/>
        <w:rPr>
          <w:rFonts w:ascii="Times New Roman" w:hAnsi="Times New Roman" w:eastAsia="URWPalladioL-Roma" w:cs="Times New Roman"/>
          <w:color w:val="000000"/>
          <w:kern w:val="0"/>
          <w:sz w:val="20"/>
          <w:lang w:bidi="ar"/>
        </w:rPr>
      </w:pPr>
      <w:r>
        <w:rPr>
          <w:rFonts w:ascii="Times New Roman" w:hAnsi="Times New Roman" w:eastAsia="URWPalladioL-Roma" w:cs="Times New Roman"/>
          <w:b/>
          <w:bCs/>
          <w:color w:val="000000"/>
          <w:kern w:val="0"/>
          <w:sz w:val="20"/>
          <w:lang w:bidi="ar"/>
        </w:rPr>
        <w:t>Table S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lang w:bidi="ar"/>
        </w:rPr>
        <w:t>4</w:t>
      </w:r>
      <w:r>
        <w:rPr>
          <w:rFonts w:ascii="Times New Roman" w:hAnsi="Times New Roman" w:eastAsia="URWPalladioL-Roma" w:cs="Times New Roman"/>
          <w:color w:val="000000"/>
          <w:kern w:val="0"/>
          <w:sz w:val="20"/>
          <w:lang w:bidi="ar"/>
        </w:rPr>
        <w:t xml:space="preserve"> Effect modification of humidity-food allergic associations by environmental and sociodemographic factors.</w:t>
      </w:r>
    </w:p>
    <w:p>
      <w:pPr>
        <w:pStyle w:val="2"/>
        <w:widowControl/>
        <w:shd w:val="clear" w:color="auto" w:fill="FFFFFF"/>
        <w:spacing w:beforeAutospacing="0" w:after="160" w:afterAutospacing="0" w:line="480" w:lineRule="auto"/>
        <w:rPr>
          <w:rFonts w:hint="default" w:ascii="Times New Roman" w:hAnsi="Times New Roman" w:eastAsia="URWPalladioL-Roma"/>
          <w:b w:val="0"/>
          <w:bCs w:val="0"/>
          <w:color w:val="000000"/>
          <w:sz w:val="20"/>
          <w:szCs w:val="24"/>
          <w:lang w:bidi="ar"/>
        </w:rPr>
      </w:pPr>
      <w:r>
        <w:rPr>
          <w:rFonts w:hint="default" w:ascii="Times New Roman" w:hAnsi="Times New Roman" w:eastAsia="URWPalladioL-Roma"/>
          <w:color w:val="000000"/>
          <w:sz w:val="20"/>
          <w:szCs w:val="24"/>
          <w:lang w:bidi="ar"/>
        </w:rPr>
        <w:t>Table S</w:t>
      </w:r>
      <w:r>
        <w:rPr>
          <w:rFonts w:ascii="Times New Roman" w:hAnsi="Times New Roman" w:eastAsiaTheme="minorEastAsia"/>
          <w:color w:val="000000"/>
          <w:sz w:val="20"/>
          <w:szCs w:val="24"/>
          <w:lang w:bidi="ar"/>
        </w:rPr>
        <w:t>5</w:t>
      </w:r>
      <w:r>
        <w:rPr>
          <w:rFonts w:hint="default" w:ascii="Times New Roman" w:hAnsi="Times New Roman" w:eastAsia="URWPalladioL-Roma"/>
          <w:color w:val="000000"/>
          <w:sz w:val="20"/>
          <w:szCs w:val="24"/>
          <w:lang w:bidi="ar"/>
        </w:rPr>
        <w:t xml:space="preserve"> </w:t>
      </w:r>
      <w:r>
        <w:rPr>
          <w:rFonts w:hint="default" w:ascii="Times New Roman" w:hAnsi="Times New Roman" w:eastAsia="URWPalladioL-Roma"/>
          <w:b w:val="0"/>
          <w:bCs w:val="0"/>
          <w:color w:val="000000"/>
          <w:sz w:val="20"/>
          <w:szCs w:val="24"/>
          <w:lang w:bidi="ar"/>
        </w:rPr>
        <w:t>Interaction Effects between Meteorological Factors and Individual Characteristics on Children's Food Allergy.</w:t>
      </w:r>
    </w:p>
    <w:p>
      <w:pPr>
        <w:widowControl/>
        <w:spacing w:line="480" w:lineRule="auto"/>
        <w:jc w:val="left"/>
        <w:rPr>
          <w:rFonts w:ascii="Times New Roman" w:hAnsi="Times New Roman" w:eastAsia="URWPalladioL-Roma" w:cs="Times New Roman"/>
          <w:color w:val="000000"/>
          <w:kern w:val="0"/>
          <w:sz w:val="20"/>
          <w:lang w:bidi="ar"/>
        </w:rPr>
      </w:pPr>
      <w:r>
        <w:rPr>
          <w:rFonts w:hint="eastAsia" w:ascii="Times New Roman" w:hAnsi="Times New Roman" w:eastAsia="URWPalladioL-Roma"/>
          <w:b/>
          <w:bCs/>
          <w:color w:val="000000"/>
          <w:sz w:val="20"/>
          <w:szCs w:val="24"/>
          <w:lang w:val="en-US" w:eastAsia="zh-CN" w:bidi="ar"/>
        </w:rPr>
        <w:t xml:space="preserve">Figure S1 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20"/>
          <w:szCs w:val="24"/>
          <w:lang w:val="en-US" w:eastAsia="zh-CN" w:bidi="ar"/>
        </w:rPr>
        <w:t>Restricte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20"/>
          <w:lang w:val="en-US" w:eastAsia="zh-CN" w:bidi="ar"/>
        </w:rPr>
        <w:t>d cubic spline exposure–response curves for meteorological factors and childhood food allergy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0"/>
          <w:lang w:val="en-US" w:eastAsia="zh-CN" w:bidi="ar"/>
        </w:rPr>
        <w:t>.</w:t>
      </w:r>
    </w:p>
    <w:p>
      <w:pPr>
        <w:widowControl/>
        <w:spacing w:line="480" w:lineRule="auto"/>
        <w:jc w:val="left"/>
        <w:rPr>
          <w:rFonts w:ascii="Times New Roman" w:hAnsi="Times New Roman" w:eastAsia="URWPalladioL-Roma" w:cs="Times New Roman"/>
          <w:color w:val="000000"/>
          <w:kern w:val="0"/>
          <w:szCs w:val="21"/>
          <w:lang w:bidi="ar"/>
        </w:rPr>
        <w:sectPr>
          <w:pgSz w:w="11906" w:h="16838"/>
          <w:pgMar w:top="1134" w:right="1021" w:bottom="1134" w:left="1021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URWPalladioL-Roma" w:cs="Times New Roman"/>
          <w:b/>
          <w:bCs/>
          <w:color w:val="000000"/>
          <w:kern w:val="0"/>
          <w:sz w:val="20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0"/>
          <w:lang w:val="en-US" w:eastAsia="zh-CN" w:bidi="ar"/>
        </w:rPr>
        <w:t>ure S2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0"/>
          <w:lang w:bidi="ar"/>
        </w:rPr>
        <w:t xml:space="preserve"> </w:t>
      </w:r>
      <w:r>
        <w:rPr>
          <w:rFonts w:ascii="Times New Roman" w:hAnsi="Times New Roman" w:eastAsia="URWPalladioL-Roma" w:cs="Times New Roman"/>
          <w:color w:val="000000"/>
          <w:kern w:val="0"/>
          <w:sz w:val="20"/>
          <w:lang w:bidi="ar"/>
        </w:rPr>
        <w:t>Interaction Effects between Meteorological Factors and Individual Characteristics on Children's Food Allergy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0"/>
          <w:lang w:bidi="ar"/>
        </w:rPr>
        <w:t>.</w:t>
      </w:r>
    </w:p>
    <w:p>
      <w:pPr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S1</w:t>
      </w:r>
      <w:r>
        <w:rPr>
          <w:rFonts w:ascii="Times New Roman" w:hAnsi="Times New Roman" w:cs="Times New Roman"/>
          <w:sz w:val="20"/>
          <w:szCs w:val="20"/>
        </w:rPr>
        <w:t xml:space="preserve"> Descriptive statistics of meteorological and air pollutant exposure levels</w:t>
      </w:r>
      <w:r>
        <w:rPr>
          <w:rFonts w:hint="eastAsia" w:ascii="Times New Roman" w:hAnsi="Times New Roman" w:cs="Times New Roman"/>
          <w:sz w:val="20"/>
          <w:szCs w:val="20"/>
        </w:rPr>
        <w:t>.</w:t>
      </w:r>
    </w:p>
    <w:tbl>
      <w:tblPr>
        <w:tblStyle w:val="5"/>
        <w:tblW w:w="544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3"/>
        <w:gridCol w:w="668"/>
        <w:gridCol w:w="1010"/>
        <w:gridCol w:w="912"/>
        <w:gridCol w:w="912"/>
        <w:gridCol w:w="912"/>
        <w:gridCol w:w="910"/>
        <w:gridCol w:w="10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747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Environmental exposure variables</w:t>
            </w:r>
          </w:p>
        </w:tc>
        <w:tc>
          <w:tcPr>
            <w:tcW w:w="342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SD</w:t>
            </w:r>
          </w:p>
        </w:tc>
        <w:tc>
          <w:tcPr>
            <w:tcW w:w="517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median</w:t>
            </w:r>
          </w:p>
        </w:tc>
        <w:tc>
          <w:tcPr>
            <w:tcW w:w="467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Min</w:t>
            </w:r>
          </w:p>
        </w:tc>
        <w:tc>
          <w:tcPr>
            <w:tcW w:w="467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P25</w:t>
            </w:r>
          </w:p>
        </w:tc>
        <w:tc>
          <w:tcPr>
            <w:tcW w:w="467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P50</w:t>
            </w:r>
          </w:p>
        </w:tc>
        <w:tc>
          <w:tcPr>
            <w:tcW w:w="466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P75</w:t>
            </w:r>
          </w:p>
        </w:tc>
        <w:tc>
          <w:tcPr>
            <w:tcW w:w="523" w:type="pct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Max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747" w:type="pct"/>
            <w:tcBorders>
              <w:top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Meteorological</w:t>
            </w:r>
            <w:r>
              <w:rPr>
                <w:rFonts w:hint="eastAsia"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factors</w:t>
            </w:r>
          </w:p>
        </w:tc>
        <w:tc>
          <w:tcPr>
            <w:tcW w:w="342" w:type="pct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" w:type="pct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" w:type="pct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" w:type="pct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pct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pct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 xml:space="preserve">emperature ( </w:t>
            </w:r>
            <w:r>
              <w:rPr>
                <w:rFonts w:ascii="Times New Roman" w:hAnsi="Times New Roman" w:cs="Times New Roman"/>
                <w:vertAlign w:val="superscript"/>
              </w:rPr>
              <w:t>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)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0.34</w:t>
            </w: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26.0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22.9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26.03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26.14</w:t>
            </w: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26.21</w:t>
            </w: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26.32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UVB (</w:t>
            </w:r>
            <w:r>
              <w:rPr>
                <w:rFonts w:ascii="Times New Roman" w:hAnsi="Times New Roman" w:cs="Times New Roman"/>
              </w:rPr>
              <w:t>kJ/m²</w:t>
            </w:r>
            <w:r>
              <w:rPr>
                <w:rFonts w:hint="eastAsia" w:ascii="Times New Roman" w:hAnsi="Times New Roman" w:cs="Times New Roman"/>
              </w:rPr>
              <w:t>)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3.7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526.4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505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.0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523.42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528.19</w:t>
            </w: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529.07</w:t>
            </w: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531.63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Precipitation</w:t>
            </w:r>
            <w:r>
              <w:rPr>
                <w:rFonts w:hint="eastAsia" w:ascii="Times New Roman" w:hAnsi="Times New Roman" w:cs="Times New Roman"/>
              </w:rPr>
              <w:t xml:space="preserve"> (mm)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76.5</w:t>
            </w: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131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</w:rPr>
              <w:t>49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lang w:eastAsia="zh-CN"/>
              </w:rPr>
            </w:pPr>
            <w:r>
              <w:rPr>
                <w:rFonts w:hint="eastAsia" w:ascii="Times New Roman" w:hAnsi="Times New Roman" w:cs="Times New Roman"/>
              </w:rPr>
              <w:t>103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</w:rPr>
              <w:t>4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128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</w:rPr>
              <w:t>18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129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</w:rPr>
              <w:t>7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9</w:t>
            </w: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131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</w:rPr>
              <w:t>16</w:t>
            </w: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162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</w:rPr>
              <w:t>7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</w:rPr>
              <w:t>umidity ( % )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0.9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82.8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80.97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82.09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82.48</w:t>
            </w: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83.83</w:t>
            </w: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85.30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Air</w:t>
            </w:r>
            <w:r>
              <w:rPr>
                <w:rFonts w:hint="eastAsia"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pollutants</w:t>
            </w:r>
            <w:r>
              <w:rPr>
                <w:rFonts w:hint="eastAsia"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(μg/m3)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CO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0.02</w:t>
            </w: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0.55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0.45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0.52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0.53</w:t>
            </w: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0.54</w:t>
            </w: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O</w:t>
            </w:r>
            <w:r>
              <w:rPr>
                <w:rFonts w:hint="eastAsia"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2.8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</w:t>
            </w: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87.0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75.61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85.25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87.63</w:t>
            </w: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89.13</w:t>
            </w: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95.27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NO</w:t>
            </w:r>
            <w:r>
              <w:rPr>
                <w:rFonts w:hint="eastAsia"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1.28</w:t>
            </w: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10.4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6.72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9.63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10.92</w:t>
            </w: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11.32</w:t>
            </w: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13.16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PM</w:t>
            </w:r>
            <w:r>
              <w:rPr>
                <w:rFonts w:hint="eastAsia"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1.36</w:t>
            </w: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30.1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20.50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29.58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30.38</w:t>
            </w: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31.02</w:t>
            </w: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34.88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47" w:type="pct"/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PM</w:t>
            </w:r>
            <w:r>
              <w:rPr>
                <w:rFonts w:hint="eastAsia" w:ascii="Times New Roman" w:hAnsi="Times New Roman" w:cs="Times New Roman"/>
                <w:vertAlign w:val="subscript"/>
              </w:rPr>
              <w:t>2.5</w:t>
            </w:r>
          </w:p>
        </w:tc>
        <w:tc>
          <w:tcPr>
            <w:tcW w:w="342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0.75</w:t>
            </w:r>
          </w:p>
        </w:tc>
        <w:tc>
          <w:tcPr>
            <w:tcW w:w="51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16.0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11.27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15.65</w:t>
            </w:r>
          </w:p>
        </w:tc>
        <w:tc>
          <w:tcPr>
            <w:tcW w:w="467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16.22</w:t>
            </w:r>
          </w:p>
        </w:tc>
        <w:tc>
          <w:tcPr>
            <w:tcW w:w="466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16.53</w:t>
            </w:r>
          </w:p>
        </w:tc>
        <w:tc>
          <w:tcPr>
            <w:tcW w:w="523" w:type="pct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18.51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747" w:type="pct"/>
            <w:tcBorders>
              <w:bottom w:val="single" w:color="auto" w:sz="4" w:space="0"/>
            </w:tcBorders>
          </w:tcPr>
          <w:p>
            <w:pPr>
              <w:spacing w:line="360" w:lineRule="auto"/>
              <w:ind w:firstLine="283" w:firstLineChars="135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SO</w:t>
            </w:r>
            <w:r>
              <w:rPr>
                <w:rFonts w:hint="eastAsia"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342" w:type="pct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0.95</w:t>
            </w:r>
          </w:p>
        </w:tc>
        <w:tc>
          <w:tcPr>
            <w:tcW w:w="517" w:type="pct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14.6</w:t>
            </w:r>
          </w:p>
        </w:tc>
        <w:tc>
          <w:tcPr>
            <w:tcW w:w="467" w:type="pct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10.80</w:t>
            </w:r>
          </w:p>
        </w:tc>
        <w:tc>
          <w:tcPr>
            <w:tcW w:w="467" w:type="pct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14.12</w:t>
            </w:r>
          </w:p>
        </w:tc>
        <w:tc>
          <w:tcPr>
            <w:tcW w:w="467" w:type="pct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14.95</w:t>
            </w:r>
          </w:p>
        </w:tc>
        <w:tc>
          <w:tcPr>
            <w:tcW w:w="466" w:type="pct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15.28</w:t>
            </w:r>
          </w:p>
        </w:tc>
        <w:tc>
          <w:tcPr>
            <w:tcW w:w="523" w:type="pct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17.13</w:t>
            </w:r>
          </w:p>
        </w:tc>
      </w:tr>
    </w:tbl>
    <w:p>
      <w:pPr>
        <w:spacing w:line="276" w:lineRule="auto"/>
        <w:jc w:val="both"/>
        <w:rPr>
          <w:rFonts w:ascii="Times New Roman" w:hAnsi="Times New Roman" w:cs="Times New Roman"/>
          <w:sz w:val="18"/>
          <w:szCs w:val="21"/>
        </w:rPr>
      </w:pPr>
      <w:r>
        <w:rPr>
          <w:rFonts w:hint="eastAsia" w:ascii="Times New Roman" w:hAnsi="Times New Roman" w:cs="Times New Roman"/>
          <w:sz w:val="18"/>
          <w:szCs w:val="21"/>
        </w:rPr>
        <w:t xml:space="preserve">SD: standard deviation; Max: maximum value; Min: minimum value; </w:t>
      </w:r>
      <w:r>
        <w:rPr>
          <w:rFonts w:hint="eastAsia" w:ascii="Times New Roman" w:hAnsi="Times New Roman" w:cs="Times New Roman"/>
          <w:sz w:val="18"/>
          <w:szCs w:val="21"/>
          <w:lang w:val="en-US" w:eastAsia="zh-CN"/>
        </w:rPr>
        <w:t>P</w:t>
      </w:r>
      <w:r>
        <w:rPr>
          <w:rFonts w:ascii="Times New Roman" w:hAnsi="Times New Roman" w:cs="Times New Roman"/>
          <w:sz w:val="18"/>
          <w:szCs w:val="21"/>
        </w:rPr>
        <w:t>25,</w:t>
      </w:r>
      <w:r>
        <w:rPr>
          <w:rFonts w:hint="eastAsia" w:ascii="Times New Roman" w:hAnsi="Times New Roman" w:cs="Times New Roman"/>
          <w:sz w:val="18"/>
          <w:szCs w:val="21"/>
          <w:lang w:val="en-US" w:eastAsia="zh-CN"/>
        </w:rPr>
        <w:t>P</w:t>
      </w:r>
      <w:r>
        <w:rPr>
          <w:rFonts w:ascii="Times New Roman" w:hAnsi="Times New Roman" w:cs="Times New Roman"/>
          <w:sz w:val="18"/>
          <w:szCs w:val="21"/>
        </w:rPr>
        <w:t>50,</w:t>
      </w:r>
      <w:r>
        <w:rPr>
          <w:rFonts w:hint="eastAsia" w:ascii="Times New Roman" w:hAnsi="Times New Roman" w:cs="Times New Roman"/>
          <w:sz w:val="18"/>
          <w:szCs w:val="21"/>
          <w:lang w:val="en-US" w:eastAsia="zh-CN"/>
        </w:rPr>
        <w:t>P</w:t>
      </w:r>
      <w:r>
        <w:rPr>
          <w:rFonts w:ascii="Times New Roman" w:hAnsi="Times New Roman" w:cs="Times New Roman"/>
          <w:sz w:val="18"/>
          <w:szCs w:val="21"/>
        </w:rPr>
        <w:t>75 indicate 25th, 50th, and 75th percentile of the values; Values of PM</w:t>
      </w:r>
      <w:r>
        <w:rPr>
          <w:rFonts w:ascii="Times New Roman" w:hAnsi="Times New Roman" w:cs="Times New Roman"/>
          <w:sz w:val="18"/>
          <w:szCs w:val="21"/>
          <w:vertAlign w:val="subscript"/>
        </w:rPr>
        <w:t>10</w:t>
      </w:r>
      <w:r>
        <w:rPr>
          <w:rFonts w:ascii="Times New Roman" w:hAnsi="Times New Roman" w:cs="Times New Roman"/>
          <w:sz w:val="18"/>
          <w:szCs w:val="21"/>
        </w:rPr>
        <w:t>, PM</w:t>
      </w:r>
      <w:r>
        <w:rPr>
          <w:rFonts w:ascii="Times New Roman" w:hAnsi="Times New Roman" w:cs="Times New Roman"/>
          <w:sz w:val="18"/>
          <w:szCs w:val="21"/>
          <w:vertAlign w:val="subscript"/>
        </w:rPr>
        <w:t>2.5</w:t>
      </w:r>
      <w:r>
        <w:rPr>
          <w:rFonts w:ascii="Times New Roman" w:hAnsi="Times New Roman" w:cs="Times New Roman"/>
          <w:sz w:val="18"/>
          <w:szCs w:val="21"/>
        </w:rPr>
        <w:t>, NO</w:t>
      </w:r>
      <w:r>
        <w:rPr>
          <w:rFonts w:ascii="Times New Roman" w:hAnsi="Times New Roman" w:cs="Times New Roman"/>
          <w:sz w:val="18"/>
          <w:szCs w:val="21"/>
          <w:vertAlign w:val="subscript"/>
        </w:rPr>
        <w:t>2</w:t>
      </w:r>
      <w:r>
        <w:rPr>
          <w:rFonts w:ascii="Times New Roman" w:hAnsi="Times New Roman" w:cs="Times New Roman"/>
          <w:sz w:val="18"/>
          <w:szCs w:val="21"/>
        </w:rPr>
        <w:t xml:space="preserve"> and SO</w:t>
      </w:r>
      <w:r>
        <w:rPr>
          <w:rFonts w:ascii="Times New Roman" w:hAnsi="Times New Roman" w:cs="Times New Roman"/>
          <w:sz w:val="18"/>
          <w:szCs w:val="21"/>
          <w:vertAlign w:val="subscript"/>
        </w:rPr>
        <w:t xml:space="preserve">2 </w:t>
      </w:r>
      <w:r>
        <w:rPr>
          <w:rFonts w:ascii="Times New Roman" w:hAnsi="Times New Roman" w:cs="Times New Roman"/>
          <w:sz w:val="18"/>
          <w:szCs w:val="21"/>
        </w:rPr>
        <w:t>were daily hourly average concentrations; Values of O</w:t>
      </w:r>
      <w:r>
        <w:rPr>
          <w:rFonts w:ascii="Times New Roman" w:hAnsi="Times New Roman" w:cs="Times New Roman"/>
          <w:sz w:val="18"/>
          <w:szCs w:val="21"/>
          <w:vertAlign w:val="subscript"/>
        </w:rPr>
        <w:t>3</w:t>
      </w:r>
      <w:r>
        <w:rPr>
          <w:rFonts w:ascii="Times New Roman" w:hAnsi="Times New Roman" w:cs="Times New Roman"/>
          <w:sz w:val="18"/>
          <w:szCs w:val="21"/>
        </w:rPr>
        <w:t xml:space="preserve"> were computed using 1-h mean concentrations.</w:t>
      </w:r>
    </w:p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>
      <w:pPr>
        <w:spacing w:line="360" w:lineRule="auto"/>
        <w:jc w:val="both"/>
        <w:rPr>
          <w:rFonts w:hint="eastAsia" w:ascii="Times New Roman" w:hAnsi="Times New Roman" w:cs="Times New Roman" w:eastAsiaTheme="minorEastAsia"/>
          <w:sz w:val="20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2"/>
        </w:rPr>
        <w:t>Table S2</w:t>
      </w:r>
      <w:r>
        <w:rPr>
          <w:rFonts w:hint="eastAsia" w:ascii="Times New Roman" w:hAnsi="Times New Roman" w:cs="Times New Roman"/>
          <w:sz w:val="20"/>
          <w:szCs w:val="22"/>
        </w:rPr>
        <w:t xml:space="preserve"> Spearman correlation between single meteorological factor and air pollutants and food allergy risk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>.</w:t>
      </w:r>
    </w:p>
    <w:tbl>
      <w:tblPr>
        <w:tblStyle w:val="5"/>
        <w:tblW w:w="9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759"/>
        <w:gridCol w:w="1274"/>
        <w:gridCol w:w="759"/>
        <w:gridCol w:w="1290"/>
        <w:gridCol w:w="1022"/>
        <w:gridCol w:w="689"/>
        <w:gridCol w:w="689"/>
        <w:gridCol w:w="689"/>
        <w:gridCol w:w="689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MyriadPro-Semibold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URWPalladioL-Roma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  <w:t>FA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</w:rPr>
              <w:t>T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emperature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UVB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Precipitation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</w:rPr>
              <w:t>H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umidity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CO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O</w:t>
            </w:r>
            <w:r>
              <w:rPr>
                <w:rFonts w:ascii="Times New Roman" w:hAnsi="Times New Roman" w:cs="Times New Roman"/>
                <w:b w:val="0"/>
                <w:bCs w:val="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NO</w:t>
            </w:r>
            <w:r>
              <w:rPr>
                <w:rFonts w:ascii="Times New Roman" w:hAnsi="Times New Roman" w:cs="Times New Roman"/>
                <w:b w:val="0"/>
                <w:bCs w:val="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PM</w:t>
            </w:r>
            <w:r>
              <w:rPr>
                <w:rFonts w:ascii="Times New Roman" w:hAnsi="Times New Roman" w:cs="Times New Roman"/>
                <w:b w:val="0"/>
                <w:bCs w:val="0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PM</w:t>
            </w:r>
            <w:r>
              <w:rPr>
                <w:rFonts w:ascii="Times New Roman" w:hAnsi="Times New Roman" w:cs="Times New Roman"/>
                <w:b w:val="0"/>
                <w:bCs w:val="0"/>
                <w:vertAlign w:val="subscript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emperature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-0.042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UVB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Precipitation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H</w:t>
            </w:r>
            <w:r>
              <w:rPr>
                <w:rFonts w:ascii="Times New Roman" w:hAnsi="Times New Roman" w:cs="Times New Roman"/>
                <w:szCs w:val="21"/>
              </w:rPr>
              <w:t>umidity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PM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PM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-0.378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-0.357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-0.142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0.338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0.580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0.817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0.860</w:t>
            </w:r>
          </w:p>
        </w:tc>
      </w:tr>
    </w:tbl>
    <w:p>
      <w:pPr>
        <w:widowControl/>
        <w:jc w:val="left"/>
        <w:rPr>
          <w:rFonts w:hint="default"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</w:pPr>
      <w:r>
        <w:rPr>
          <w:rFonts w:hint="default"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>FA:</w:t>
      </w:r>
      <w:r>
        <w:rPr>
          <w:rFonts w:hint="default" w:ascii="Times New Roman" w:hAnsi="Times New Roman" w:cs="Times New Roman"/>
          <w:color w:val="000000"/>
          <w:kern w:val="0"/>
          <w:sz w:val="18"/>
          <w:szCs w:val="18"/>
          <w:lang w:bidi="ar"/>
        </w:rPr>
        <w:t xml:space="preserve"> 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>Food allergy ;UVB:</w:t>
      </w:r>
      <w:r>
        <w:rPr>
          <w:rFonts w:hint="default" w:ascii="Times New Roman" w:hAnsi="Times New Roman" w:cs="Times New Roman"/>
          <w:color w:val="000000"/>
          <w:kern w:val="0"/>
          <w:sz w:val="18"/>
          <w:szCs w:val="18"/>
          <w:lang w:bidi="ar"/>
        </w:rPr>
        <w:t xml:space="preserve"> 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>Ultraviolet B; rs ≥ 0.7 was considered as high correlation; Bold values are statistically significant (</w:t>
      </w:r>
      <w:r>
        <w:rPr>
          <w:rFonts w:hint="default" w:ascii="Times New Roman" w:hAnsi="Times New Roman" w:eastAsia="URWPalladioL-Roma" w:cs="Times New Roman"/>
          <w:i/>
          <w:iCs/>
          <w:color w:val="000000"/>
          <w:kern w:val="0"/>
          <w:sz w:val="18"/>
          <w:szCs w:val="18"/>
          <w:lang w:bidi="ar"/>
        </w:rPr>
        <w:t>p&lt;0.05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>).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widowControl/>
        <w:spacing w:line="360" w:lineRule="auto"/>
        <w:jc w:val="left"/>
        <w:rPr>
          <w:rFonts w:hint="eastAsia" w:ascii="Times New Roman" w:hAnsi="Times New Roman" w:eastAsia="URWPalladioL-Roma" w:cs="Times New Roman"/>
          <w:color w:val="000000"/>
          <w:kern w:val="0"/>
          <w:szCs w:val="21"/>
          <w:lang w:bidi="ar"/>
        </w:rPr>
        <w:sectPr>
          <w:pgSz w:w="11906" w:h="16838"/>
          <w:pgMar w:top="1440" w:right="1633" w:bottom="1440" w:left="1519" w:header="851" w:footer="992" w:gutter="0"/>
          <w:cols w:space="425" w:num="1"/>
          <w:docGrid w:type="lines" w:linePitch="312" w:charSpace="0"/>
        </w:sectPr>
      </w:pPr>
    </w:p>
    <w:p>
      <w:pPr>
        <w:widowControl/>
        <w:spacing w:line="360" w:lineRule="auto"/>
        <w:jc w:val="left"/>
        <w:rPr>
          <w:rFonts w:ascii="Times New Roman" w:hAnsi="Times New Roman" w:eastAsia="URWPalladioL-Roma" w:cs="Times New Roman"/>
          <w:color w:val="000000"/>
          <w:kern w:val="0"/>
          <w:sz w:val="20"/>
          <w:szCs w:val="20"/>
          <w:lang w:bidi="ar"/>
        </w:rPr>
      </w:pPr>
      <w:r>
        <w:rPr>
          <w:rFonts w:hint="eastAsia" w:ascii="Times New Roman" w:hAnsi="Times New Roman" w:eastAsia="URWPalladioL-Roma" w:cs="Times New Roman"/>
          <w:b/>
          <w:bCs/>
          <w:color w:val="000000"/>
          <w:kern w:val="0"/>
          <w:sz w:val="20"/>
          <w:szCs w:val="20"/>
          <w:lang w:bidi="ar"/>
        </w:rPr>
        <w:t>Table S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szCs w:val="20"/>
          <w:lang w:bidi="ar"/>
        </w:rPr>
        <w:t>3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0"/>
          <w:szCs w:val="20"/>
          <w:lang w:bidi="ar"/>
        </w:rPr>
        <w:t xml:space="preserve"> Multivariate logistic regression analysis of environmental factors and children 's food allergy after adjusting for confounding factors.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103"/>
        <w:gridCol w:w="1008"/>
        <w:gridCol w:w="2130"/>
        <w:gridCol w:w="981"/>
        <w:gridCol w:w="2269"/>
        <w:gridCol w:w="834"/>
        <w:gridCol w:w="8"/>
        <w:gridCol w:w="2145"/>
        <w:gridCol w:w="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24" w:hRule="atLeast"/>
        </w:trPr>
        <w:tc>
          <w:tcPr>
            <w:tcW w:w="1728" w:type="dxa"/>
            <w:vMerge w:val="restart"/>
            <w:tcBorders>
              <w:top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MyriadPro-Semibold" w:cs="Times New Roman"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3111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tabs>
                <w:tab w:val="left" w:pos="4712"/>
              </w:tabs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Model 1</w:t>
            </w:r>
          </w:p>
        </w:tc>
        <w:tc>
          <w:tcPr>
            <w:tcW w:w="3111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tabs>
                <w:tab w:val="left" w:pos="4712"/>
              </w:tabs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Model 2</w:t>
            </w:r>
          </w:p>
        </w:tc>
        <w:tc>
          <w:tcPr>
            <w:tcW w:w="3111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tabs>
                <w:tab w:val="left" w:pos="4712"/>
              </w:tabs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Model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3113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tabs>
                <w:tab w:val="left" w:pos="4712"/>
              </w:tabs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Model 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vMerge w:val="continue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111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OR(95% CI)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  <w:tc>
          <w:tcPr>
            <w:tcW w:w="3111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OR (95% CI) 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i/>
                <w:iCs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  <w:tc>
          <w:tcPr>
            <w:tcW w:w="3103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OR(95%CI)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       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  <w:tc>
          <w:tcPr>
            <w:tcW w:w="3121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OR (95% CI) 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      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emperature</w:t>
            </w:r>
          </w:p>
        </w:tc>
        <w:tc>
          <w:tcPr>
            <w:tcW w:w="2103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0.947(0.715,1.255)</w:t>
            </w:r>
          </w:p>
        </w:tc>
        <w:tc>
          <w:tcPr>
            <w:tcW w:w="1008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0.705</w:t>
            </w:r>
          </w:p>
        </w:tc>
        <w:tc>
          <w:tcPr>
            <w:tcW w:w="2130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0.939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(0.710,1.241)</w:t>
            </w:r>
          </w:p>
        </w:tc>
        <w:tc>
          <w:tcPr>
            <w:tcW w:w="981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0.658</w:t>
            </w:r>
          </w:p>
        </w:tc>
        <w:tc>
          <w:tcPr>
            <w:tcW w:w="2269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1.197(0.903,1.586)</w:t>
            </w:r>
          </w:p>
        </w:tc>
        <w:tc>
          <w:tcPr>
            <w:tcW w:w="834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0.210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1.916(1.281,2.864)</w:t>
            </w:r>
          </w:p>
        </w:tc>
        <w:tc>
          <w:tcPr>
            <w:tcW w:w="968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b/>
                <w:bCs/>
                <w:color w:val="000000"/>
                <w:kern w:val="0"/>
                <w:szCs w:val="21"/>
                <w:lang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>
            <w:pPr>
              <w:widowControl/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UVB</w:t>
            </w:r>
          </w:p>
        </w:tc>
        <w:tc>
          <w:tcPr>
            <w:tcW w:w="2103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0.956(0.930,0.983)</w:t>
            </w:r>
          </w:p>
        </w:tc>
        <w:tc>
          <w:tcPr>
            <w:tcW w:w="1008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b/>
                <w:bCs/>
                <w:color w:val="000000"/>
                <w:kern w:val="0"/>
                <w:szCs w:val="21"/>
                <w:lang w:bidi="ar"/>
              </w:rPr>
              <w:t>0.002</w:t>
            </w:r>
          </w:p>
        </w:tc>
        <w:tc>
          <w:tcPr>
            <w:tcW w:w="2130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0.95</w:t>
            </w: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(0.93</w:t>
            </w: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,0.98</w:t>
            </w: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981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URWPalladioL-Roma" w:cs="Times New Roman"/>
                <w:b/>
                <w:bCs/>
                <w:color w:val="000000"/>
                <w:kern w:val="0"/>
                <w:szCs w:val="21"/>
                <w:lang w:bidi="ar"/>
              </w:rPr>
              <w:t>0.002</w:t>
            </w:r>
          </w:p>
        </w:tc>
        <w:tc>
          <w:tcPr>
            <w:tcW w:w="2269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0.989(0.969,1.019)</w:t>
            </w:r>
          </w:p>
        </w:tc>
        <w:tc>
          <w:tcPr>
            <w:tcW w:w="834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0.481</w:t>
            </w:r>
          </w:p>
        </w:tc>
        <w:tc>
          <w:tcPr>
            <w:tcW w:w="2153" w:type="dxa"/>
            <w:gridSpan w:val="2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1.005(0.965,1.047)</w:t>
            </w:r>
          </w:p>
        </w:tc>
        <w:tc>
          <w:tcPr>
            <w:tcW w:w="968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>
            <w:pPr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Precipitation</w:t>
            </w:r>
          </w:p>
        </w:tc>
        <w:tc>
          <w:tcPr>
            <w:tcW w:w="2103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1(0.99,1.01)</w:t>
            </w:r>
          </w:p>
        </w:tc>
        <w:tc>
          <w:tcPr>
            <w:tcW w:w="1008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0.763</w:t>
            </w:r>
          </w:p>
        </w:tc>
        <w:tc>
          <w:tcPr>
            <w:tcW w:w="2130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1(0.99,1.01)</w:t>
            </w:r>
          </w:p>
        </w:tc>
        <w:tc>
          <w:tcPr>
            <w:tcW w:w="981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0.832</w:t>
            </w:r>
          </w:p>
        </w:tc>
        <w:tc>
          <w:tcPr>
            <w:tcW w:w="2269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1.000(0.98,1.02)</w:t>
            </w:r>
          </w:p>
        </w:tc>
        <w:tc>
          <w:tcPr>
            <w:tcW w:w="834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0.555</w:t>
            </w:r>
          </w:p>
        </w:tc>
        <w:tc>
          <w:tcPr>
            <w:tcW w:w="2153" w:type="dxa"/>
            <w:gridSpan w:val="2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1.001(1.00,1.03)</w:t>
            </w:r>
          </w:p>
        </w:tc>
        <w:tc>
          <w:tcPr>
            <w:tcW w:w="968" w:type="dxa"/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0.088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>H</w:t>
            </w:r>
            <w:r>
              <w:rPr>
                <w:rFonts w:ascii="Times New Roman" w:hAnsi="Times New Roman" w:cs="Times New Roman"/>
                <w:szCs w:val="21"/>
              </w:rPr>
              <w:t>umidity</w:t>
            </w:r>
          </w:p>
        </w:tc>
        <w:tc>
          <w:tcPr>
            <w:tcW w:w="2103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1.319(1.176,1.479)</w:t>
            </w:r>
          </w:p>
        </w:tc>
        <w:tc>
          <w:tcPr>
            <w:tcW w:w="1008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b/>
                <w:bCs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130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1.310(1.168,1.469)</w:t>
            </w:r>
          </w:p>
        </w:tc>
        <w:tc>
          <w:tcPr>
            <w:tcW w:w="981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b/>
                <w:bCs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269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1.189(1.043,1.355)</w:t>
            </w:r>
          </w:p>
        </w:tc>
        <w:tc>
          <w:tcPr>
            <w:tcW w:w="834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b/>
                <w:bCs/>
                <w:color w:val="000000"/>
                <w:kern w:val="0"/>
                <w:szCs w:val="21"/>
                <w:lang w:bidi="ar"/>
              </w:rPr>
              <w:t>0.010</w:t>
            </w:r>
          </w:p>
        </w:tc>
        <w:tc>
          <w:tcPr>
            <w:tcW w:w="2153" w:type="dxa"/>
            <w:gridSpan w:val="2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  <w:t>1.485(1.245,1.773)</w:t>
            </w:r>
          </w:p>
        </w:tc>
        <w:tc>
          <w:tcPr>
            <w:tcW w:w="968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URWPalladioL-Roma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URWPalladioL-Roma" w:cs="Times New Roman"/>
                <w:b/>
                <w:bCs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</w:tbl>
    <w:p>
      <w:pPr>
        <w:widowControl/>
        <w:jc w:val="left"/>
        <w:rPr>
          <w:sz w:val="18"/>
          <w:szCs w:val="18"/>
        </w:rPr>
      </w:pP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The data are presented as ORs and 95% CIs; Model 1 : Unadjusted univariate model. Model 2 : 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 xml:space="preserve">Based on 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>Model 1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>,further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 adjusted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 xml:space="preserve"> 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>demographic factors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>: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 Age, gender,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h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>istory of abortion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, 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early antibiotic use.Model 3 : 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 xml:space="preserve">Based on 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Model 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>2,further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 adjusted Sociological factors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>: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 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>p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>renatal antibiotic use, family history of allergies, pet feeding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, t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>raffic exposure, pesticide use, economic status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, ventilation patterns, r</w:t>
      </w:r>
      <w:r>
        <w:rPr>
          <w:rFonts w:ascii="Times New Roman" w:hAnsi="Times New Roman" w:eastAsia="宋体" w:cs="Times New Roman"/>
          <w:sz w:val="18"/>
          <w:szCs w:val="18"/>
        </w:rPr>
        <w:t>edecoration</w:t>
      </w:r>
      <w:r>
        <w:rPr>
          <w:rFonts w:hint="eastAsia" w:ascii="Times New Roman" w:hAnsi="Times New Roman" w:eastAsia="宋体" w:cs="Times New Roman"/>
          <w:sz w:val="18"/>
          <w:szCs w:val="18"/>
        </w:rPr>
        <w:t>,</w:t>
      </w:r>
      <w:r>
        <w:rPr>
          <w:rFonts w:ascii="Times New Roman" w:hAnsi="Times New Roman" w:eastAsia="宋体" w:cs="Times New Roman"/>
          <w:sz w:val="18"/>
          <w:szCs w:val="18"/>
        </w:rPr>
        <w:t>cleaning frequency</w:t>
      </w:r>
      <w:r>
        <w:rPr>
          <w:rFonts w:hint="eastAsia" w:ascii="Times New Roman" w:hAnsi="Times New Roman" w:eastAsia="宋体" w:cs="Times New Roman"/>
          <w:sz w:val="18"/>
          <w:szCs w:val="18"/>
        </w:rPr>
        <w:t>.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 Model 4 : 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 xml:space="preserve">Based on 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Model 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bidi="ar"/>
        </w:rPr>
        <w:t>3,further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 adjusted temperature, precipitation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, UVB, h</w:t>
      </w:r>
      <w:r>
        <w:rPr>
          <w:rFonts w:ascii="Times New Roman" w:hAnsi="Times New Roman" w:cs="Times New Roman"/>
          <w:sz w:val="18"/>
          <w:szCs w:val="18"/>
        </w:rPr>
        <w:t>umidity</w:t>
      </w:r>
      <w:r>
        <w:rPr>
          <w:rFonts w:hint="eastAsia"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eastAsia="URWPalladioL-Roma" w:cs="Times New Roman"/>
          <w:color w:val="000000"/>
          <w:kern w:val="0"/>
          <w:sz w:val="18"/>
          <w:szCs w:val="18"/>
          <w:lang w:bidi="ar"/>
        </w:rPr>
        <w:t xml:space="preserve"> and pollutant factors</w:t>
      </w:r>
      <w:r>
        <w:rPr>
          <w:rFonts w:hint="eastAsia" w:ascii="Times New Roman" w:hAnsi="Times New Roman" w:cs="Times New Roman"/>
          <w:sz w:val="18"/>
          <w:szCs w:val="18"/>
        </w:rPr>
        <w:t>.</w:t>
      </w:r>
    </w:p>
    <w:p>
      <w:pPr>
        <w:widowControl/>
        <w:spacing w:line="360" w:lineRule="auto"/>
        <w:jc w:val="left"/>
        <w:rPr>
          <w:rFonts w:hint="eastAsia" w:ascii="Times New Roman" w:hAnsi="Times New Roman" w:eastAsia="URWPalladioL-Roma" w:cs="Times New Roman"/>
          <w:color w:val="000000"/>
          <w:kern w:val="0"/>
          <w:szCs w:val="21"/>
          <w:lang w:bidi="ar"/>
        </w:rPr>
        <w:sectPr>
          <w:pgSz w:w="16838" w:h="11906" w:orient="landscape"/>
          <w:pgMar w:top="1519" w:right="1440" w:bottom="1633" w:left="1440" w:header="851" w:footer="992" w:gutter="0"/>
          <w:cols w:space="0" w:num="1"/>
          <w:rtlGutter w:val="0"/>
          <w:docGrid w:type="lines" w:linePitch="312" w:charSpace="0"/>
        </w:sectPr>
      </w:pPr>
    </w:p>
    <w:p>
      <w:pPr>
        <w:widowControl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URWPalladioL-Roma" w:cs="Times New Roman"/>
          <w:color w:val="000000"/>
          <w:kern w:val="0"/>
          <w:sz w:val="20"/>
          <w:szCs w:val="20"/>
          <w:lang w:bidi="ar"/>
        </w:rPr>
        <w:t>Table S</w:t>
      </w:r>
      <w:r>
        <w:rPr>
          <w:rFonts w:hint="eastAsia" w:ascii="Times New Roman" w:hAnsi="Times New Roman" w:cs="Times New Roman"/>
          <w:color w:val="000000"/>
          <w:kern w:val="0"/>
          <w:sz w:val="20"/>
          <w:szCs w:val="20"/>
          <w:lang w:bidi="ar"/>
        </w:rPr>
        <w:t>4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0"/>
          <w:szCs w:val="20"/>
          <w:lang w:bidi="ar"/>
        </w:rPr>
        <w:t xml:space="preserve"> Effect modification of humidity-food allergic associations by environmental and sociodemographic factors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.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5"/>
        <w:gridCol w:w="2889"/>
        <w:gridCol w:w="30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Subgroups</w:t>
            </w:r>
          </w:p>
        </w:tc>
        <w:tc>
          <w:tcPr>
            <w:tcW w:w="8957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Humidity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OR (95% CI)</w:t>
            </w:r>
          </w:p>
        </w:tc>
        <w:tc>
          <w:tcPr>
            <w:tcW w:w="490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2"/>
                <w:szCs w:val="22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4057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0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0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1.31(1.10-1.55)</w:t>
            </w:r>
          </w:p>
        </w:tc>
        <w:tc>
          <w:tcPr>
            <w:tcW w:w="4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0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1.33(1.14-1.55)</w:t>
            </w:r>
          </w:p>
        </w:tc>
        <w:tc>
          <w:tcPr>
            <w:tcW w:w="4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Family history of allergy</w:t>
            </w:r>
          </w:p>
        </w:tc>
        <w:tc>
          <w:tcPr>
            <w:tcW w:w="4057" w:type="dxa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0" w:type="dxa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40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1.20(1.04-1.39)</w:t>
            </w:r>
          </w:p>
        </w:tc>
        <w:tc>
          <w:tcPr>
            <w:tcW w:w="4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40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1.41(1.17-1.70)</w:t>
            </w:r>
          </w:p>
        </w:tc>
        <w:tc>
          <w:tcPr>
            <w:tcW w:w="4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Antibiotic use during pregnancy</w:t>
            </w:r>
          </w:p>
        </w:tc>
        <w:tc>
          <w:tcPr>
            <w:tcW w:w="4057" w:type="dxa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0" w:type="dxa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40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1.34(0.81-2.24)</w:t>
            </w:r>
          </w:p>
        </w:tc>
        <w:tc>
          <w:tcPr>
            <w:tcW w:w="4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40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1.32(1.17-1.49)</w:t>
            </w:r>
          </w:p>
        </w:tc>
        <w:tc>
          <w:tcPr>
            <w:tcW w:w="4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Having a pet since conception</w:t>
            </w:r>
          </w:p>
        </w:tc>
        <w:tc>
          <w:tcPr>
            <w:tcW w:w="4057" w:type="dxa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0" w:type="dxa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40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1.17(0.92-1.49)</w:t>
            </w:r>
          </w:p>
        </w:tc>
        <w:tc>
          <w:tcPr>
            <w:tcW w:w="4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40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1.38(1.21-1.57)</w:t>
            </w:r>
          </w:p>
        </w:tc>
        <w:tc>
          <w:tcPr>
            <w:tcW w:w="4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24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History of miscarriage</w:t>
            </w:r>
          </w:p>
        </w:tc>
        <w:tc>
          <w:tcPr>
            <w:tcW w:w="4057" w:type="dxa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0" w:type="dxa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40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1.27(1.04-1.56)</w:t>
            </w:r>
          </w:p>
        </w:tc>
        <w:tc>
          <w:tcPr>
            <w:tcW w:w="49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405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1.33(1.15-1.52)</w:t>
            </w:r>
          </w:p>
        </w:tc>
        <w:tc>
          <w:tcPr>
            <w:tcW w:w="490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</w:tbl>
    <w:p>
      <w:pPr>
        <w:rPr>
          <w:rFonts w:hint="eastAsia"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</w:rPr>
        <w:t>CI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:</w:t>
      </w:r>
      <w:r>
        <w:rPr>
          <w:rFonts w:hint="eastAsia" w:ascii="Times New Roman" w:hAnsi="Times New Roman" w:cs="Times New Roman"/>
          <w:sz w:val="18"/>
          <w:szCs w:val="18"/>
        </w:rPr>
        <w:t>confidence interval</w:t>
      </w:r>
      <w:r>
        <w:rPr>
          <w:rFonts w:ascii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i/>
          <w:iCs/>
          <w:sz w:val="18"/>
          <w:szCs w:val="18"/>
        </w:rPr>
        <w:t>p-value</w:t>
      </w:r>
      <w:r>
        <w:rPr>
          <w:rFonts w:hint="eastAsia" w:ascii="Times New Roman" w:hAnsi="Times New Roman" w:cs="Times New Roman"/>
          <w:sz w:val="18"/>
          <w:szCs w:val="18"/>
        </w:rPr>
        <w:t xml:space="preserve"> for testing </w:t>
      </w:r>
      <w:r>
        <w:rPr>
          <w:rFonts w:ascii="Times New Roman" w:hAnsi="Times New Roman" w:cs="Times New Roman"/>
          <w:sz w:val="18"/>
          <w:szCs w:val="18"/>
        </w:rPr>
        <w:t xml:space="preserve">the </w:t>
      </w:r>
      <w:r>
        <w:rPr>
          <w:rFonts w:hint="eastAsia" w:ascii="Times New Roman" w:hAnsi="Times New Roman" w:cs="Times New Roman"/>
          <w:sz w:val="18"/>
          <w:szCs w:val="18"/>
        </w:rPr>
        <w:t>difference</w:t>
      </w:r>
      <w:r>
        <w:rPr>
          <w:rFonts w:ascii="Times New Roman" w:hAnsi="Times New Roman" w:cs="Times New Roman"/>
          <w:sz w:val="18"/>
          <w:szCs w:val="18"/>
        </w:rPr>
        <w:t xml:space="preserve"> between subgroups</w:t>
      </w:r>
      <w:r>
        <w:rPr>
          <w:rFonts w:hint="eastAsia"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eastAsia="宋体" w:cs="Times New Roman"/>
          <w:sz w:val="18"/>
          <w:szCs w:val="18"/>
        </w:rPr>
        <w:t xml:space="preserve">bold </w:t>
      </w:r>
      <w:r>
        <w:rPr>
          <w:rFonts w:hint="eastAsia" w:ascii="Times New Roman" w:hAnsi="Times New Roman" w:eastAsia="宋体" w:cs="Times New Roman"/>
          <w:sz w:val="18"/>
          <w:szCs w:val="18"/>
        </w:rPr>
        <w:t>means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eastAsia="宋体" w:cs="Times New Roman"/>
          <w:sz w:val="18"/>
          <w:szCs w:val="18"/>
        </w:rPr>
        <w:t xml:space="preserve"> &lt; 0.05</w:t>
      </w:r>
      <w:r>
        <w:rPr>
          <w:rFonts w:hint="eastAsia" w:ascii="Times New Roman" w:hAnsi="Times New Roman" w:eastAsia="宋体" w:cs="Times New Roman"/>
          <w:sz w:val="18"/>
          <w:szCs w:val="18"/>
        </w:rPr>
        <w:t>.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br w:type="page"/>
      </w:r>
    </w:p>
    <w:p>
      <w:pPr>
        <w:pStyle w:val="2"/>
        <w:widowControl/>
        <w:shd w:val="clear" w:color="auto" w:fill="FFFFFF"/>
        <w:spacing w:beforeAutospacing="0" w:after="160" w:afterAutospacing="0" w:line="320" w:lineRule="atLeast"/>
        <w:rPr>
          <w:rFonts w:hint="default" w:ascii="Times New Roman" w:hAnsi="Times New Roman" w:eastAsia="微软雅黑"/>
          <w:color w:val="000000"/>
          <w:sz w:val="20"/>
          <w:szCs w:val="20"/>
          <w:lang w:bidi="ar"/>
        </w:rPr>
      </w:pPr>
      <w:r>
        <w:rPr>
          <w:rFonts w:ascii="Times New Roman" w:hAnsi="Times New Roman" w:eastAsia="URWPalladioL-Roma"/>
          <w:b/>
          <w:bCs/>
          <w:color w:val="000000"/>
          <w:sz w:val="20"/>
          <w:szCs w:val="20"/>
          <w:lang w:bidi="ar"/>
        </w:rPr>
        <w:t>Table S</w:t>
      </w:r>
      <w:r>
        <w:rPr>
          <w:rFonts w:ascii="Times New Roman" w:hAnsi="Times New Roman" w:eastAsiaTheme="minorEastAsia"/>
          <w:b/>
          <w:bCs/>
          <w:color w:val="000000"/>
          <w:sz w:val="20"/>
          <w:szCs w:val="20"/>
          <w:lang w:bidi="ar"/>
        </w:rPr>
        <w:t>5</w:t>
      </w:r>
      <w:r>
        <w:rPr>
          <w:rFonts w:ascii="Times New Roman" w:hAnsi="Times New Roman" w:eastAsia="URWPalladioL-Roma"/>
          <w:b w:val="0"/>
          <w:bCs w:val="0"/>
          <w:color w:val="000000"/>
          <w:sz w:val="20"/>
          <w:szCs w:val="20"/>
          <w:lang w:bidi="ar"/>
        </w:rPr>
        <w:t xml:space="preserve"> </w:t>
      </w:r>
      <w:r>
        <w:rPr>
          <w:rFonts w:hint="default" w:ascii="Times New Roman" w:hAnsi="Times New Roman" w:eastAsia="URWPalladioL-Roma"/>
          <w:b w:val="0"/>
          <w:bCs w:val="0"/>
          <w:color w:val="000000"/>
          <w:sz w:val="20"/>
          <w:szCs w:val="20"/>
          <w:lang w:bidi="ar"/>
        </w:rPr>
        <w:t>Interaction Effects between Meteorological Factors and Individual Characteristics on Children's Food Allergy</w:t>
      </w:r>
      <w:r>
        <w:rPr>
          <w:rFonts w:ascii="Times New Roman" w:hAnsi="Times New Roman" w:eastAsia="URWPalladioL-Roma"/>
          <w:b w:val="0"/>
          <w:bCs w:val="0"/>
          <w:color w:val="000000"/>
          <w:sz w:val="20"/>
          <w:szCs w:val="20"/>
          <w:lang w:bidi="ar"/>
        </w:rPr>
        <w:t>.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5"/>
        <w:gridCol w:w="1255"/>
        <w:gridCol w:w="1656"/>
        <w:gridCol w:w="9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65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F1115"/>
                <w:sz w:val="20"/>
                <w:szCs w:val="20"/>
                <w:shd w:val="clear" w:color="auto" w:fill="FFFFFF"/>
              </w:rPr>
              <w:t>I</w:t>
            </w:r>
            <w:r>
              <w:rPr>
                <w:rFonts w:ascii="Times New Roman" w:hAnsi="Times New Roman" w:eastAsia="Segoe UI" w:cs="Times New Roman"/>
                <w:color w:val="0F1115"/>
                <w:sz w:val="20"/>
                <w:szCs w:val="20"/>
                <w:shd w:val="clear" w:color="auto" w:fill="FFFFFF"/>
              </w:rPr>
              <w:t>nteraction Term</w:t>
            </w:r>
          </w:p>
        </w:tc>
        <w:tc>
          <w:tcPr>
            <w:tcW w:w="125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Coefficient</w:t>
            </w:r>
          </w:p>
        </w:tc>
        <w:tc>
          <w:tcPr>
            <w:tcW w:w="165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OR (95% CI)</w:t>
            </w:r>
          </w:p>
        </w:tc>
        <w:tc>
          <w:tcPr>
            <w:tcW w:w="98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i/>
                <w:iCs/>
                <w:color w:val="0F1115"/>
                <w:sz w:val="18"/>
                <w:szCs w:val="18"/>
                <w:shd w:val="clear" w:color="auto" w:fill="FFFFFF"/>
              </w:rPr>
              <w:t>p-value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655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Style w:val="7"/>
                <w:rFonts w:ascii="Times New Roman" w:hAnsi="Times New Roman" w:eastAsia="Segoe UI" w:cs="Times New Roman"/>
                <w:bCs/>
                <w:color w:val="0F1115"/>
                <w:sz w:val="18"/>
                <w:szCs w:val="18"/>
                <w:shd w:val="clear" w:color="auto" w:fill="FFFFFF"/>
              </w:rPr>
              <w:t>Meteorological×Meteorological</w:t>
            </w:r>
          </w:p>
        </w:tc>
        <w:tc>
          <w:tcPr>
            <w:tcW w:w="125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6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655" w:type="dxa"/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Temperature × Precipitation</w:t>
            </w:r>
          </w:p>
        </w:tc>
        <w:tc>
          <w:tcPr>
            <w:tcW w:w="1255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-0.103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0.902 (0.785-1.037)</w:t>
            </w:r>
          </w:p>
        </w:tc>
        <w:tc>
          <w:tcPr>
            <w:tcW w:w="989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0.147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3655" w:type="dxa"/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UVB × Precipitation</w:t>
            </w:r>
          </w:p>
        </w:tc>
        <w:tc>
          <w:tcPr>
            <w:tcW w:w="1255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-0.052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0.949 (0.874-1.032)</w:t>
            </w:r>
          </w:p>
        </w:tc>
        <w:tc>
          <w:tcPr>
            <w:tcW w:w="989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3655" w:type="dxa"/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Style w:val="7"/>
                <w:rFonts w:ascii="Times New Roman" w:hAnsi="Times New Roman" w:eastAsia="Segoe UI" w:cs="Times New Roman"/>
                <w:bCs/>
                <w:color w:val="0F1115"/>
                <w:sz w:val="18"/>
                <w:szCs w:val="18"/>
                <w:shd w:val="clear" w:color="auto" w:fill="FFFFFF"/>
              </w:rPr>
              <w:t>Meteorological×Individual/Environmental</w:t>
            </w:r>
          </w:p>
        </w:tc>
        <w:tc>
          <w:tcPr>
            <w:tcW w:w="1255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6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9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3655" w:type="dxa"/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Humidity × Household cleaning frequency</w:t>
            </w:r>
          </w:p>
        </w:tc>
        <w:tc>
          <w:tcPr>
            <w:tcW w:w="1255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0.124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1.132 (0.985-1.301)</w:t>
            </w:r>
          </w:p>
        </w:tc>
        <w:tc>
          <w:tcPr>
            <w:tcW w:w="989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18"/>
                <w:szCs w:val="18"/>
                <w:shd w:val="clear" w:color="auto" w:fill="FFFFFF"/>
              </w:rPr>
              <w:t>0.081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3655" w:type="dxa"/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Humidity × Family history of allergies</w:t>
            </w:r>
          </w:p>
        </w:tc>
        <w:tc>
          <w:tcPr>
            <w:tcW w:w="1255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0.130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1.138 (0.929-1.395)</w:t>
            </w:r>
          </w:p>
        </w:tc>
        <w:tc>
          <w:tcPr>
            <w:tcW w:w="989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3655" w:type="dxa"/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Humidity × Home redecoration</w:t>
            </w:r>
          </w:p>
        </w:tc>
        <w:tc>
          <w:tcPr>
            <w:tcW w:w="1255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-0.112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0.894 (0.726-1.102)</w:t>
            </w:r>
          </w:p>
        </w:tc>
        <w:tc>
          <w:tcPr>
            <w:tcW w:w="989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655" w:type="dxa"/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Humidity × Pet ownership</w:t>
            </w:r>
          </w:p>
        </w:tc>
        <w:tc>
          <w:tcPr>
            <w:tcW w:w="1255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-0.104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0.901 (0.709-1.145)</w:t>
            </w:r>
          </w:p>
        </w:tc>
        <w:tc>
          <w:tcPr>
            <w:tcW w:w="989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655" w:type="dxa"/>
          </w:tcPr>
          <w:p>
            <w:pPr>
              <w:rPr>
                <w:rFonts w:ascii="Times New Roman" w:hAnsi="Times New Roman" w:eastAsia="微软雅黑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Humidity × History of miscarriage</w:t>
            </w:r>
          </w:p>
        </w:tc>
        <w:tc>
          <w:tcPr>
            <w:tcW w:w="1255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-0.006</w:t>
            </w:r>
          </w:p>
        </w:tc>
        <w:tc>
          <w:tcPr>
            <w:tcW w:w="1656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0.994 (0.804-1.229)</w:t>
            </w:r>
          </w:p>
        </w:tc>
        <w:tc>
          <w:tcPr>
            <w:tcW w:w="989" w:type="dxa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3655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Humidity × Antibiotic use during pregnancy</w:t>
            </w:r>
          </w:p>
        </w:tc>
        <w:tc>
          <w:tcPr>
            <w:tcW w:w="125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0.072</w:t>
            </w:r>
          </w:p>
        </w:tc>
        <w:tc>
          <w:tcPr>
            <w:tcW w:w="1656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1.074 (0.672-1.717)</w:t>
            </w:r>
          </w:p>
        </w:tc>
        <w:tc>
          <w:tcPr>
            <w:tcW w:w="98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18"/>
                <w:szCs w:val="18"/>
                <w:shd w:val="clear" w:color="auto" w:fill="FFFFFF"/>
              </w:rPr>
              <w:t>0.765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18"/>
          <w:szCs w:val="18"/>
          <w:lang w:val="en-US"/>
        </w:rPr>
      </w:pP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OR:odds ratio; CI: confidence interval; The interaction "Humidity × Precipitation" could not be estimated due to collinearity issues; None of the interaction terms reached statistical significance (</w:t>
      </w:r>
      <w:r>
        <w:rPr>
          <w:rFonts w:ascii="Times New Roman" w:hAnsi="Times New Roman" w:eastAsia="Segoe UI" w:cs="Times New Roman"/>
          <w:i/>
          <w:iCs/>
          <w:color w:val="0F1115"/>
          <w:sz w:val="18"/>
          <w:szCs w:val="18"/>
          <w:shd w:val="clear" w:color="auto" w:fill="FFFFFF"/>
        </w:rPr>
        <w:t>p &lt; 0.05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)</w:t>
      </w: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  <w:lang w:val="en-US" w:eastAsia="zh-CN"/>
        </w:rPr>
        <w:t>,</w:t>
      </w:r>
      <w:r>
        <w:rPr>
          <w:rFonts w:hint="eastAsia"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sz w:val="18"/>
          <w:szCs w:val="18"/>
        </w:rPr>
        <w:t xml:space="preserve">bold </w:t>
      </w:r>
      <w:r>
        <w:rPr>
          <w:rFonts w:hint="eastAsia" w:ascii="Times New Roman" w:hAnsi="Times New Roman" w:eastAsia="宋体" w:cs="Times New Roman"/>
          <w:sz w:val="18"/>
          <w:szCs w:val="18"/>
        </w:rPr>
        <w:t>means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eastAsia="Segoe UI" w:cs="Times New Roman"/>
          <w:i/>
          <w:iCs/>
          <w:color w:val="0F1115"/>
          <w:sz w:val="18"/>
          <w:szCs w:val="18"/>
          <w:shd w:val="clear" w:color="auto" w:fill="FFFFFF"/>
          <w:lang w:val="en-US" w:eastAsia="zh-CN"/>
        </w:rPr>
        <w:t>P</w:t>
      </w:r>
      <w:r>
        <w:rPr>
          <w:rFonts w:ascii="Times New Roman" w:hAnsi="Times New Roman" w:eastAsia="Segoe UI" w:cs="Times New Roman"/>
          <w:i/>
          <w:iCs/>
          <w:color w:val="0F1115"/>
          <w:sz w:val="18"/>
          <w:szCs w:val="18"/>
          <w:shd w:val="clear" w:color="auto" w:fill="FFFFFF"/>
        </w:rPr>
        <w:t xml:space="preserve"> &lt; 0.</w:t>
      </w:r>
      <w:r>
        <w:rPr>
          <w:rFonts w:hint="eastAsia" w:ascii="Times New Roman" w:hAnsi="Times New Roman" w:eastAsia="Segoe UI" w:cs="Times New Roman"/>
          <w:i/>
          <w:iCs/>
          <w:color w:val="0F1115"/>
          <w:sz w:val="18"/>
          <w:szCs w:val="18"/>
          <w:shd w:val="clear" w:color="auto" w:fill="FFFFFF"/>
          <w:lang w:val="en-US" w:eastAsia="zh-CN"/>
        </w:rPr>
        <w:t>1.</w:t>
      </w:r>
    </w:p>
    <w:p>
      <w:pPr>
        <w:widowControl/>
        <w:jc w:val="left"/>
        <w:rPr>
          <w:rFonts w:hint="eastAsia" w:ascii="Times New Roman" w:hAnsi="Times New Roman" w:eastAsia="宋体" w:cs="Times New Roman"/>
          <w:color w:val="0F1115"/>
          <w:sz w:val="20"/>
          <w:szCs w:val="20"/>
          <w:shd w:val="clear" w:color="auto" w:fill="FFFFFF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</w:rPr>
      </w:pP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</w:rPr>
        <w:br w:type="page"/>
      </w:r>
    </w:p>
    <w:p>
      <w:pPr>
        <w:widowControl/>
        <w:jc w:val="left"/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</w:rPr>
      </w:pP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  <w:lang w:eastAsia="zh-CN"/>
        </w:rPr>
        <w:drawing>
          <wp:inline distT="0" distB="0" distL="114300" distR="114300">
            <wp:extent cx="5556885" cy="4065905"/>
            <wp:effectExtent l="0" t="0" r="5715" b="10795"/>
            <wp:docPr id="1" name="图片 1" descr="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56885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jc w:val="left"/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eastAsia="URWPalladioL-Roma"/>
          <w:b/>
          <w:bCs/>
          <w:color w:val="000000"/>
          <w:sz w:val="20"/>
          <w:szCs w:val="20"/>
          <w:lang w:val="en-US" w:eastAsia="zh-CN" w:bidi="ar"/>
        </w:rPr>
        <w:t>Figure. S1</w:t>
      </w:r>
      <w:r>
        <w:rPr>
          <w:rFonts w:hint="eastAsia" w:ascii="Times New Roman" w:hAnsi="Times New Roman" w:eastAsia="URWPalladioL-Roma"/>
          <w:b w:val="0"/>
          <w:bCs w:val="0"/>
          <w:color w:val="00000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Restricted cubic spline exposure–response curves for meteorological factors and childhood food allergy</w:t>
      </w:r>
      <w:r>
        <w:rPr>
          <w:rFonts w:hint="eastAsia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.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Panel A: Temperature</w:t>
      </w:r>
      <w:r>
        <w:rPr>
          <w:rFonts w:hint="eastAsia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; 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Panel</w:t>
      </w:r>
      <w:r>
        <w:rPr>
          <w:rFonts w:hint="eastAsia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B: UVB</w:t>
      </w:r>
      <w:r>
        <w:rPr>
          <w:rFonts w:hint="eastAsia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; 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Pane</w:t>
      </w:r>
      <w:r>
        <w:rPr>
          <w:rFonts w:hint="eastAsia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l C: 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Precipitation</w:t>
      </w:r>
      <w:r>
        <w:rPr>
          <w:rFonts w:hint="eastAsia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; 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Panel D: Humidity</w:t>
      </w:r>
      <w:r>
        <w:rPr>
          <w:rFonts w:hint="eastAsia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.</w:t>
      </w:r>
    </w:p>
    <w:p>
      <w:pP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20"/>
          <w:szCs w:val="24"/>
          <w:lang w:val="en-US" w:eastAsia="zh-CN" w:bidi="ar"/>
        </w:rPr>
      </w:pPr>
      <w:r>
        <w:rPr>
          <w:rFonts w:hint="eastAsia" w:ascii="Times New Roman" w:hAnsi="Times New Roman" w:eastAsia="URWPalladioL-Roma" w:cs="Times New Roman"/>
          <w:b w:val="0"/>
          <w:bCs w:val="0"/>
          <w:color w:val="000000"/>
          <w:kern w:val="0"/>
          <w:sz w:val="20"/>
          <w:szCs w:val="24"/>
          <w:lang w:val="en-US" w:eastAsia="zh-CN" w:bidi="ar"/>
        </w:rPr>
        <w:br w:type="page"/>
      </w:r>
    </w:p>
    <w:p>
      <w:pPr>
        <w:widowControl/>
        <w:spacing w:line="480" w:lineRule="auto"/>
        <w:jc w:val="left"/>
        <w:rPr>
          <w:rFonts w:hint="eastAsia" w:ascii="Times New Roman" w:hAnsi="Times New Roman" w:eastAsia="URWPalladioL-Roma" w:cs="Times New Roman"/>
          <w:color w:val="000000"/>
          <w:kern w:val="0"/>
          <w:sz w:val="20"/>
          <w:lang w:bidi="ar"/>
        </w:rPr>
      </w:pPr>
    </w:p>
    <w:p>
      <w:pPr>
        <w:widowControl/>
        <w:spacing w:line="48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0"/>
          <w:lang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0"/>
          <w:lang w:eastAsia="zh-CN" w:bidi="ar"/>
        </w:rPr>
        <w:drawing>
          <wp:inline distT="0" distB="0" distL="114300" distR="114300">
            <wp:extent cx="6254115" cy="3780155"/>
            <wp:effectExtent l="0" t="0" r="6985" b="4445"/>
            <wp:docPr id="2" name="图片 2" descr="Figure 5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5 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4115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480" w:lineRule="auto"/>
        <w:jc w:val="left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eastAsia="URWPalladioL-Roma" w:cs="Times New Roman"/>
          <w:b/>
          <w:bCs/>
          <w:color w:val="000000"/>
          <w:kern w:val="0"/>
          <w:sz w:val="20"/>
          <w:szCs w:val="20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>ure.S2</w:t>
      </w:r>
      <w:r>
        <w:rPr>
          <w:rFonts w:hint="eastAsia" w:ascii="Times New Roman" w:hAnsi="Times New Roman" w:eastAsia="URWPalladioL-Roma" w:cs="Times New Roman"/>
          <w:b w:val="0"/>
          <w:bCs w:val="0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bidi="ar"/>
        </w:rPr>
        <w:t>Interaction Effects between Meteorological Factors and Individual Characteristics on Children's Food Allergy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.Hu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>m: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Humidity</w:t>
      </w: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>Redec:</w:t>
      </w: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edecoration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 xml:space="preserve"> Pet: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Pet ownership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 xml:space="preserve"> Temp: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Temperature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 xml:space="preserve"> Prec: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Precipitation</w:t>
      </w: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>Miscar: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History of miscarriage</w:t>
      </w: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>ABXpreg: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Antibiotic use during pregnancy</w:t>
      </w: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>CleanFreq: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Household cleaning frequency</w:t>
      </w: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>FamAller:</w:t>
      </w:r>
      <w:r>
        <w:rPr>
          <w:rFonts w:ascii="Times New Roman" w:hAnsi="Times New Roman" w:eastAsia="Segoe UI" w:cs="Times New Roman"/>
          <w:color w:val="0F1115"/>
          <w:sz w:val="18"/>
          <w:szCs w:val="18"/>
          <w:shd w:val="clear" w:color="auto" w:fill="FFFFFF"/>
        </w:rPr>
        <w:t>Family history of allergies</w:t>
      </w:r>
      <w:r>
        <w:rPr>
          <w:rFonts w:hint="eastAsia" w:ascii="Times New Roman" w:hAnsi="Times New Roman" w:eastAsia="宋体" w:cs="Times New Roman"/>
          <w:color w:val="0F1115"/>
          <w:sz w:val="18"/>
          <w:szCs w:val="18"/>
          <w:shd w:val="clear" w:color="auto" w:fill="FFFFFF"/>
          <w:lang w:val="en-US" w:eastAsia="zh-CN"/>
        </w:rPr>
        <w:t>.</w:t>
      </w:r>
      <w:bookmarkStart w:id="0" w:name="_GoBack"/>
      <w:bookmarkEnd w:id="0"/>
    </w:p>
    <w:sectPr>
      <w:pgSz w:w="11906" w:h="16838"/>
      <w:pgMar w:top="1440" w:right="1633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URWPalladioL-R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zYWJlZjVmY2E1Zjg2ZTU1Y2E2OTQ4YmNlODA1ZjAifQ=="/>
  </w:docVars>
  <w:rsids>
    <w:rsidRoot w:val="00000000"/>
    <w:rsid w:val="063C333F"/>
    <w:rsid w:val="079E1FCB"/>
    <w:rsid w:val="079E6443"/>
    <w:rsid w:val="09FF0374"/>
    <w:rsid w:val="0A0B44D8"/>
    <w:rsid w:val="0CAA6B80"/>
    <w:rsid w:val="0E7F02E3"/>
    <w:rsid w:val="0F7D69CC"/>
    <w:rsid w:val="15610299"/>
    <w:rsid w:val="1F342DB1"/>
    <w:rsid w:val="28E71F4E"/>
    <w:rsid w:val="2A3278AA"/>
    <w:rsid w:val="2AE20282"/>
    <w:rsid w:val="2C035AD9"/>
    <w:rsid w:val="362E0397"/>
    <w:rsid w:val="375F45D4"/>
    <w:rsid w:val="53326836"/>
    <w:rsid w:val="6692455C"/>
    <w:rsid w:val="6E6A65D4"/>
    <w:rsid w:val="78FE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620</Words>
  <Characters>3887</Characters>
  <Lines>0</Lines>
  <Paragraphs>0</Paragraphs>
  <TotalTime>6</TotalTime>
  <ScaleCrop>false</ScaleCrop>
  <LinksUpToDate>false</LinksUpToDate>
  <CharactersWithSpaces>4276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2026-05-24T15:29:00Z</dcterms:created>
  <dc:creator>Lenovo</dc:creator>
  <cp:lastModifiedBy>Andrew</cp:lastModifiedBy>
  <dcterms:modified xsi:type="dcterms:W3CDTF">2026-09-08T08:57:41Z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KSOTemplateDocerSaveRecord">
    <vt:lpwstr>eyJoZGlkIjoiOTdkOWJkN2Q2M2ZkNTcwZWZjZGI4MzYzMGE4OGNkZGMiLCJ1c2VySWQiOiIxMTMzMDU0ODk5In0=</vt:lpwstr>
  </property>
  <property fmtid="{D5CDD505-2E9C-101B-9397-08002B2CF9AE}" pid="4" name="ICV">
    <vt:lpwstr>E116E909D08F4AF7808438BDF4245B5E_12</vt:lpwstr>
  </property>
</Properties>
</file>