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Interest-Rate Regimes, Credit Distortion, and Capital Misallocation: Evidence from the Offshore Drilling Rig Market, 2005–2025</w:t>
      </w:r>
    </w:p>
    <w:p>
      <w:r>
        <w:rPr>
          <w:i/>
        </w:rPr>
        <w:t>Lixue Kang (terreck) \ Civil Aviation Administration of China, Yinchuan, China</w:t>
      </w:r>
    </w:p>
    <w:p>
      <w:r>
        <w:rPr>
          <w:b w:val="0"/>
          <w:i w:val="0"/>
        </w:rPr>
        <w:t xml:space="preserve">We test the Austrian business-cycle claim that artificially low interest rates distort the intertemporal structure of capital, using the offshore drilling rig market—a sector with heterogeneous, long-lived assets and a physical 3–5 year construction lag. Exploiting the contrast between the 2010–2014 zero-rate/QE window and the 2022–2025 exogenous tightening, and using a same-firm dual-indicator design (utilization vs. update intensity) that excludes supply-chain transmission, we find: (i) at equal fleet utilization, low-rate-period capital expenditure is systematically higher and the premium widens toward the top of the cycle (interaction </w:t>
      </w:r>
      <m:oMath>
        <m:r>
          <m:rPr>
            <m:sty m:val="i"/>
          </m:rPr>
          <m:t>β</m:t>
        </m:r>
        <m:r>
          <m:t>=</m:t>
        </m:r>
        <m:r>
          <m:t>+</m:t>
        </m:r>
        <m:r>
          <m:t>0.0037</m:t>
        </m:r>
      </m:oMath>
      <w:r>
        <w:rPr>
          <w:b w:val="0"/>
          <w:i w:val="0"/>
        </w:rPr>
        <w:t xml:space="preserve">, </w:t>
      </w:r>
      <m:oMath>
        <m:r>
          <m:rPr>
            <m:sty m:val="i"/>
          </m:rPr>
          <m:t>t</m:t>
        </m:r>
        <m:r>
          <m:t>=</m:t>
        </m:r>
        <m:r>
          <m:t>9.04</m:t>
        </m:r>
      </m:oMath>
      <w:r>
        <w:rPr>
          <w:b w:val="0"/>
          <w:i w:val="0"/>
        </w:rPr>
        <w:t xml:space="preserve">; </w:t>
      </w:r>
      <m:oMath>
        <m:r>
          <m:t>+</m:t>
        </m:r>
        <m:r>
          <m:t>0.0038</m:t>
        </m:r>
      </m:oMath>
      <w:r>
        <w:rPr>
          <w:b w:val="0"/>
          <w:i w:val="0"/>
        </w:rPr>
        <w:t xml:space="preserve">, </w:t>
      </w:r>
      <m:oMath>
        <m:r>
          <m:rPr>
            <m:sty m:val="i"/>
          </m:rPr>
          <m:t>t</m:t>
        </m:r>
        <m:r>
          <m:t>=</m:t>
        </m:r>
        <m:r>
          <m:t>10.10</m:t>
        </m:r>
      </m:oMath>
      <w:r>
        <w:rPr>
          <w:b w:val="0"/>
          <w:i w:val="0"/>
        </w:rPr>
        <w:t xml:space="preserve"> with inflation-expectation control); (ii) the low-rate window shows 4.3</w:t>
      </w:r>
      <m:oMath>
        <m:r>
          <m:t>×</m:t>
        </m:r>
      </m:oMath>
      <w:r>
        <w:rPr>
          <w:b w:val="0"/>
          <w:i w:val="0"/>
        </w:rPr>
        <w:t xml:space="preserve"> the capex of the high-rate window; (iii) the 2022 tightening—exogenous to offshore demand, yet coinciding with high oil prices, dayrates and non-low utilization but subdued newbuild—violates the accelerator and is consistent with rate-suppressed investment. A within-firm industry-utilization conditioning test shows the cross-firm orderbook contrast is partly confounded by the accelerator and capital-discipline moderators; we therefore present the credit-channel claim as conditional, not proven. Our two contributions are the same-node dual-indicator identification and the oil-price micro-rigidity lemma used as an identification anchor </w:t>
      </w:r>
      <w:r>
        <w:rPr>
          <w:b w:val="0"/>
          <w:i w:val="0"/>
        </w:rPr>
        <w:t>(Hamilton, 2009; Hughes et al., 2008; Kilian, 2009)</w:t>
      </w:r>
      <w:r>
        <w:rPr>
          <w:b w:val="0"/>
          <w:i w:val="0"/>
        </w:rPr>
        <w:t>. All conclusions are conditional corroboration, not causal proof; identification strength is limited (see Limitations).</w:t>
      </w:r>
    </w:p>
    <w:p>
      <w:r>
        <w:rPr>
          <w:b/>
          <w:i w:val="0"/>
        </w:rPr>
        <w:t>中文摘要：</w:t>
      </w:r>
      <w:r>
        <w:rPr>
          <w:b w:val="0"/>
          <w:i w:val="0"/>
        </w:rPr>
        <w:t xml:space="preserve"> 本文以海上钻井平台市场（2005–2025）检验奥地利商业周期理论的"利率扭曲</w:t>
      </w:r>
      <m:oMath>
        <m:r>
          <m:t>→</m:t>
        </m:r>
      </m:oMath>
      <w:r>
        <w:rPr>
          <w:b w:val="0"/>
          <w:i w:val="0"/>
        </w:rPr>
        <w:t>资本结构错配"命题。该行业资产高度异质、寿命长、且新平台建设存在 3–5 年物理工期，是观测利率–资本久期关系的天然实验室。利用 2010–2014 零利率/QE 低利率窗与 2022–2025 外生加息高利率窗的对比，并采用"同节点双指标"（同一家公司利用率 vs 更新强度对话，排除产业链传导）识别策略，我们发现：(i) 在</w:t>
      </w:r>
      <w:r>
        <w:rPr>
          <w:b/>
          <w:i w:val="0"/>
        </w:rPr>
        <w:t>相同舰队利用率</w:t>
      </w:r>
      <w:r>
        <w:rPr>
          <w:b w:val="0"/>
          <w:i w:val="0"/>
        </w:rPr>
        <w:t xml:space="preserve">下，低利率期资本支出系统性更高，且溢价随利用率升高而放大（交互项 </w:t>
      </w:r>
      <m:oMath>
        <m:r>
          <m:rPr>
            <m:sty m:val="i"/>
          </m:rPr>
          <m:t>β</m:t>
        </m:r>
        <m:r>
          <m:t>=</m:t>
        </m:r>
        <m:r>
          <m:t>+</m:t>
        </m:r>
        <m:r>
          <m:t>0.0037</m:t>
        </m:r>
      </m:oMath>
      <w:r>
        <w:rPr>
          <w:b w:val="0"/>
          <w:i w:val="0"/>
        </w:rPr>
        <w:t xml:space="preserve">, </w:t>
      </w:r>
      <m:oMath>
        <m:r>
          <m:rPr>
            <m:sty m:val="i"/>
          </m:rPr>
          <m:t>t</m:t>
        </m:r>
        <m:r>
          <m:t>=</m:t>
        </m:r>
        <m:r>
          <m:t>9.04</m:t>
        </m:r>
      </m:oMath>
      <w:r>
        <w:rPr>
          <w:b w:val="0"/>
          <w:i w:val="0"/>
        </w:rPr>
        <w:t xml:space="preserve">；控通胀预期后 </w:t>
      </w:r>
      <m:oMath>
        <m:r>
          <m:t>+</m:t>
        </m:r>
        <m:r>
          <m:t>0.0038</m:t>
        </m:r>
      </m:oMath>
      <w:r>
        <w:rPr>
          <w:b w:val="0"/>
          <w:i w:val="0"/>
        </w:rPr>
        <w:t xml:space="preserve">, </w:t>
      </w:r>
      <m:oMath>
        <m:r>
          <m:rPr>
            <m:sty m:val="i"/>
          </m:rPr>
          <m:t>t</m:t>
        </m:r>
        <m:r>
          <m:t>=</m:t>
        </m:r>
        <m:r>
          <m:t>10.10</m:t>
        </m:r>
      </m:oMath>
      <w:r>
        <w:rPr>
          <w:b w:val="0"/>
          <w:i w:val="0"/>
        </w:rPr>
        <w:t xml:space="preserve">）；(ii) 低利率窗 capex 为高利率窗的 </w:t>
      </w:r>
      <w:r>
        <w:rPr>
          <w:b/>
          <w:i w:val="0"/>
        </w:rPr>
        <w:t>4.3 倍</w:t>
      </w:r>
      <w:r>
        <w:rPr>
          <w:b w:val="0"/>
          <w:i w:val="0"/>
        </w:rPr>
        <w:t>；(iii) 2022 年加息外生于海上钻井需求、却伴随高油价/高日费/不低利用率而新建低迷，</w:t>
      </w:r>
      <w:r>
        <w:rPr>
          <w:b/>
          <w:i w:val="0"/>
        </w:rPr>
        <w:t>违反投资加速器</w:t>
      </w:r>
      <w:r>
        <w:rPr>
          <w:b w:val="0"/>
          <w:i w:val="0"/>
        </w:rPr>
        <w:t>，与利率抑制型投资一致。进一步以行业利用率共同因子做条件化检验，显示跨公司订单簿对比部分受加速器与资本纪律调节混淆，故我们把信用通道主张表述为</w:t>
      </w:r>
      <w:r>
        <w:rPr>
          <w:b/>
          <w:i w:val="0"/>
        </w:rPr>
        <w:t>条件式、非证明</w:t>
      </w:r>
      <w:r>
        <w:rPr>
          <w:b w:val="0"/>
          <w:i w:val="0"/>
        </w:rPr>
        <w:t>。本文两项贡献为：同节点双指标识别策略，以及作为识别锚的"油价微观刚性论"。</w:t>
      </w:r>
    </w:p>
    <w:p>
      <w:pPr>
        <w:pStyle w:val="Heading1"/>
      </w:pPr>
      <w:r>
        <w:rPr>
          <w:b w:val="0"/>
          <w:i w:val="0"/>
        </w:rPr>
        <w:t>Introduction</w:t>
      </w:r>
    </w:p>
    <w:p>
      <w:r>
        <w:rPr>
          <w:b w:val="0"/>
          <w:i w:val="0"/>
        </w:rPr>
        <w:t xml:space="preserve">Hayek's (1931/1935) Austrian business-cycle theory (ABCT) holds that when a central bank depresses the market rate below the "natural rate," it erroneously lengthens durations and induces intertemporal capital over-allocation (malinvestment), which is liquidated once credit contracts. The centennial difficulty of this proposition is </w:t>
      </w:r>
      <w:r>
        <w:rPr>
          <w:b/>
          <w:i w:val="0"/>
        </w:rPr>
        <w:t>observational equivalence</w:t>
      </w:r>
      <w:r>
        <w:rPr>
          <w:b w:val="0"/>
          <w:i w:val="0"/>
        </w:rPr>
        <w:t xml:space="preserve">: a standard investment-accelerator plus adjustment-cost model also predicts upstream investment leads downstream with a lag, so the Hayek narrative is not the unique mechanism generating that pattern </w:t>
      </w:r>
      <w:r>
        <w:rPr>
          <w:b w:val="0"/>
          <w:i w:val="0"/>
        </w:rPr>
        <w:t>(Carilli and Dempster, 2008; Keeler, 2001)</w:t>
      </w:r>
      <w:r>
        <w:rPr>
          <w:b w:val="0"/>
          <w:i w:val="0"/>
        </w:rPr>
        <w:t>.</w:t>
      </w:r>
    </w:p>
    <w:p>
      <w:r>
        <w:rPr>
          <w:b w:val="0"/>
          <w:i w:val="0"/>
        </w:rPr>
        <w:t xml:space="preserve">This paper does not attempt to "prove" Hayek. Instead, in a sector with three structural features—(a) demand is short-run insensitive to interest rates, (b) supply and demand are highly rigid, (c) the production cycle has an incompressible physical limit—we provide a </w:t>
      </w:r>
      <w:r>
        <w:rPr>
          <w:b/>
          <w:i w:val="0"/>
        </w:rPr>
        <w:t>frequency-domain and financial-statement dual empirical corroboration</w:t>
      </w:r>
      <w:r>
        <w:rPr>
          <w:b w:val="0"/>
          <w:i w:val="0"/>
        </w:rPr>
        <w:t xml:space="preserve"> using a low/high interest-rate regime contrast plus a same-node dual-indicator design, and we honestly flag its boundaries.</w:t>
      </w:r>
    </w:p>
    <w:p>
      <w:r>
        <w:rPr>
          <w:b w:val="0"/>
          <w:i w:val="0"/>
        </w:rPr>
        <w:t>Two theoretical contributions:</w:t>
      </w:r>
    </w:p>
    <w:p>
      <w:r>
        <w:rPr>
          <w:b w:val="0"/>
          <w:i w:val="0"/>
        </w:rPr>
        <w:t xml:space="preserve">1. </w:t>
      </w:r>
      <w:r>
        <w:rPr>
          <w:b/>
          <w:i w:val="0"/>
        </w:rPr>
        <w:t>Same-node dual-indicator</w:t>
      </w:r>
      <w:r>
        <w:rPr>
          <w:b w:val="0"/>
          <w:i w:val="0"/>
        </w:rPr>
        <w:t xml:space="preserve">: within a single firm, we let "utilization (demand-side signal)" talk to "update intensity / newbuild (investment-side response)." This excludes interference from upstream–downstream supply-chain transmission, pinning the "interest-rate distortion </w:t>
      </w:r>
      <m:oMath>
        <m:r>
          <m:t>→</m:t>
        </m:r>
      </m:oMath>
      <w:r>
        <w:rPr>
          <w:b w:val="0"/>
          <w:i w:val="0"/>
        </w:rPr>
        <w:t xml:space="preserve"> capital misallocation" claim inside one agent rather than mixing it with industry-level supply–demand swings.</w:t>
      </w:r>
    </w:p>
    <w:p>
      <w:r>
        <w:rPr>
          <w:b w:val="0"/>
          <w:i w:val="0"/>
        </w:rPr>
        <w:t xml:space="preserve">2. </w:t>
      </w:r>
      <w:r>
        <w:rPr>
          <w:b/>
          <w:i w:val="0"/>
        </w:rPr>
        <w:t>Oil-price micro-rigidity lemma</w:t>
      </w:r>
      <w:r>
        <w:rPr>
          <w:b w:val="0"/>
          <w:i w:val="0"/>
        </w:rPr>
        <w:t xml:space="preserve">: oil supply and demand are both highly rigid in the short run </w:t>
      </w:r>
      <w:r>
        <w:rPr>
          <w:b w:val="0"/>
          <w:i w:val="0"/>
        </w:rPr>
        <w:t>(Hamilton, 2009; Hughes et al., 2008; Kilian, 2009)</w:t>
      </w:r>
      <w:r>
        <w:rPr>
          <w:b w:val="0"/>
          <w:i w:val="0"/>
        </w:rPr>
        <w:t xml:space="preserve">; the spot price is driven mainly by demand/precautionary shocks rather than elastic supply response. Hence oil price is a </w:t>
      </w:r>
      <w:r>
        <w:rPr>
          <w:b w:val="0"/>
          <w:i/>
        </w:rPr>
        <w:t>signal</w:t>
      </w:r>
      <w:r>
        <w:rPr>
          <w:b w:val="0"/>
          <w:i w:val="0"/>
        </w:rPr>
        <w:t xml:space="preserve"> of disequilibrium, not an incentive source for utilization; once oil price is stripped out in the regime contrast, the utilization–update-intensity gap can be attributed more cleanly to the credit channel.</w:t>
      </w:r>
    </w:p>
    <w:p>
      <w:pPr>
        <w:pStyle w:val="Heading1"/>
      </w:pPr>
      <w:r>
        <w:rPr>
          <w:b w:val="0"/>
          <w:i w:val="0"/>
        </w:rPr>
        <w:t>Literature and Theoretical Positioning</w:t>
      </w:r>
    </w:p>
    <w:p>
      <w:r>
        <w:rPr>
          <w:b/>
          <w:i w:val="0"/>
        </w:rPr>
        <w:t>Empirical ABCT is an existing sub-field, not a blank slate.</w:t>
      </w:r>
      <w:r>
        <w:rPr>
          <w:b w:val="0"/>
          <w:i w:val="0"/>
        </w:rPr>
        <w:t xml:space="preserve"> Laubach and Williams (2003) and Holston, Laubach and Williams (2017) routinely estimate the natural rate; Mulligan (2025, </w:t>
      </w:r>
      <w:r>
        <w:rPr>
          <w:b w:val="0"/>
          <w:i/>
        </w:rPr>
        <w:t>Review of Austrian Economics</w:t>
      </w:r>
      <w:r>
        <w:rPr>
          <w:b w:val="0"/>
          <w:i w:val="0"/>
        </w:rPr>
        <w:t>) already uses wavelet–Hurst analysis and "supports" the Austrian business-cycle model; Luther and McElyea (2014), Bijmsans and Mougeot (2009), and Young (2005, 2012) have all published. Our increment lies in the specific combination "rigid, physically long-gestation, same-node dual-indicator + oil-price stripping + regime/quasi-experiment," not in breaking new ground.</w:t>
      </w:r>
    </w:p>
    <w:p>
      <w:r>
        <w:rPr>
          <w:b/>
          <w:i w:val="0"/>
        </w:rPr>
        <w:t>Oil-price micro-rigidity (prior anchor):</w:t>
      </w:r>
      <w:r>
        <w:rPr>
          <w:b w:val="0"/>
          <w:i w:val="0"/>
        </w:rPr>
        <w:t xml:space="preserve"> Hamilton (2009) shows the 2007–08 oil surge was driven by "strong demand meeting stagnant global output," with supply not expanding elastically; Hughes, Knittel and Sperling (2008) measure U.S. gasoline short-run price elasticity falling from </w:t>
      </w:r>
      <m:oMath>
        <m:r>
          <m:t>-</m:t>
        </m:r>
        <m:r>
          <m:t>0.21</m:t>
        </m:r>
      </m:oMath>
      <w:r>
        <w:rPr>
          <w:b w:val="0"/>
          <w:i w:val="0"/>
        </w:rPr>
        <w:t xml:space="preserve"> to </w:t>
      </w:r>
      <m:oMath>
        <m:r>
          <m:t>-</m:t>
        </m:r>
        <m:r>
          <m:t>0.34</m:t>
        </m:r>
      </m:oMath>
      <w:r>
        <w:rPr>
          <w:b w:val="0"/>
          <w:i w:val="0"/>
        </w:rPr>
        <w:t xml:space="preserve"> (1975–1980) to </w:t>
      </w:r>
      <m:oMath>
        <m:r>
          <m:t>-</m:t>
        </m:r>
        <m:r>
          <m:t>0.034</m:t>
        </m:r>
      </m:oMath>
      <w:r>
        <w:rPr>
          <w:b w:val="0"/>
          <w:i w:val="0"/>
        </w:rPr>
        <w:t xml:space="preserve"> to </w:t>
      </w:r>
      <m:oMath>
        <m:r>
          <m:t>-</m:t>
        </m:r>
        <m:r>
          <m:t>0.077</m:t>
        </m:r>
      </m:oMath>
      <w:r>
        <w:rPr>
          <w:b w:val="0"/>
          <w:i w:val="0"/>
        </w:rPr>
        <w:t xml:space="preserve"> (2001–2006); Kilian (2009) uses an SVAR to split oil shocks into supply / global aggregate demand / oil-specific (precautionary) components, proving price can be pushed up by the oil-specific shock alone while output is flat in the short run (vertical short-run supply curve). These three authors have established "short-run oil-price low elasticity" from causes, demand elasticity, and shock structure; our oil-price micro-rigidity lemma merely condenses their conclusions into an operational assumption—the facts belong to them, the framework is ours.</w:t>
      </w:r>
    </w:p>
    <w:p>
      <w:r>
        <w:rPr>
          <w:b/>
          <w:i w:val="0"/>
        </w:rPr>
        <w:t>Observational equivalence (which we face, not avoid):</w:t>
      </w:r>
      <w:r>
        <w:rPr>
          <w:b w:val="0"/>
          <w:i w:val="0"/>
        </w:rPr>
        <w:t xml:space="preserve"> the accelerator model also generates "investment rising with demand and leading capacity deployment." We do not claim to crack it in the time domain; instead we use (a) same-firm conditional response (controlling the firm's own utilization), (b) the 2022 exogenous tightening quasi-experiment, and (c) orderbook structural leadership, to bound the credit-channel claim to what these designs support.</w:t>
      </w:r>
    </w:p>
    <w:p>
      <w:pPr>
        <w:pStyle w:val="Heading1"/>
      </w:pPr>
      <w:r>
        <w:rPr>
          <w:b w:val="0"/>
          <w:i w:val="0"/>
        </w:rPr>
        <w:t>Data and Variables</w:t>
      </w:r>
    </w:p>
    <w:p>
      <w:r>
        <w:rPr>
          <w:b/>
          <w:i w:val="0"/>
        </w:rPr>
        <w:t>Firm sample:</w:t>
      </w:r>
      <w:r>
        <w:rPr>
          <w:b w:val="0"/>
          <w:i w:val="0"/>
        </w:rPr>
        <w:t xml:space="preserve"> ten offshore drilling contractors—RIG (Transocean), NE (Noble), VAL (Valaris), SDRL (Seadrill), ESV (EnscoValaris), ATW (Atwood), DO (Diamond Offshore), PGN (Paragon), RDC (Rowan), HERC (Hercules). Data come from SEC EDGAR 10-K/10-Q/20-F and official Fleet Status disclosures.</w:t>
      </w:r>
    </w:p>
    <w:p>
      <w:r>
        <w:rPr>
          <w:b/>
          <w:i w:val="0"/>
        </w:rPr>
        <w:t>Derived panels</w:t>
      </w:r>
      <w:r>
        <w:rPr>
          <w:b w:val="0"/>
          <w:i w:val="0"/>
        </w:rPr>
        <w:t xml:space="preserve"> (all reproducible from </w:t>
      </w:r>
      <w:r>
        <w:rPr>
          <w:rFonts w:ascii="Courier New" w:hAnsi="Courier New"/>
          <w:b w:val="0"/>
          <w:i w:val="0"/>
        </w:rPr>
        <w:t>脚本/</w:t>
      </w:r>
      <w:r>
        <w:rPr>
          <w:b w:val="0"/>
          <w:i w:val="0"/>
        </w:rPr>
        <w:t>):</w:t>
      </w:r>
    </w:p>
    <w:p>
      <w:r>
        <w:rPr>
          <w:b w:val="0"/>
          <w:i w:val="0"/>
        </w:rPr>
        <w:t xml:space="preserve">- </w:t>
      </w:r>
      <w:r>
        <w:rPr>
          <w:rFonts w:ascii="Courier New" w:hAnsi="Courier New"/>
          <w:b w:val="0"/>
          <w:i w:val="0"/>
        </w:rPr>
        <w:t>financial_panel.csv</w:t>
      </w:r>
      <w:r>
        <w:rPr>
          <w:b w:val="0"/>
          <w:i w:val="0"/>
        </w:rPr>
        <w:t>: SEC XBRL capex (</w:t>
      </w:r>
      <w:r>
        <w:rPr>
          <w:rFonts w:ascii="Courier New" w:hAnsi="Courier New"/>
          <w:b w:val="0"/>
          <w:i w:val="0"/>
        </w:rPr>
        <w:t>PaymentsToAcquirePropertyPlantAndEquipment</w:t>
      </w:r>
      <w:r>
        <w:rPr>
          <w:b w:val="0"/>
          <w:i w:val="0"/>
        </w:rPr>
        <w:t>), OCF, net PPE, net debt, EBITDA (RIG/NE/VAL/SDRL).</w:t>
      </w:r>
    </w:p>
    <w:p>
      <w:r>
        <w:rPr>
          <w:b w:val="0"/>
          <w:i w:val="0"/>
        </w:rPr>
        <w:t xml:space="preserve">- </w:t>
      </w:r>
      <w:r>
        <w:rPr>
          <w:rFonts w:ascii="Courier New" w:hAnsi="Courier New"/>
          <w:b w:val="0"/>
          <w:i w:val="0"/>
        </w:rPr>
        <w:t>rig_util_quarterly.csv</w:t>
      </w:r>
      <w:r>
        <w:rPr>
          <w:b w:val="0"/>
          <w:i w:val="0"/>
        </w:rPr>
        <w:t xml:space="preserve">: RIG quarterly average fleet utilization(%); note the column is mislabeled </w:t>
      </w:r>
      <w:r>
        <w:rPr>
          <w:rFonts w:ascii="Courier New" w:hAnsi="Courier New"/>
          <w:b w:val="0"/>
          <w:i w:val="0"/>
        </w:rPr>
        <w:t>total_fleet</w:t>
      </w:r>
      <w:r>
        <w:rPr>
          <w:b w:val="0"/>
          <w:i w:val="0"/>
        </w:rPr>
        <w:t xml:space="preserve"> in the extraction script—values are utilization percentages (see </w:t>
      </w:r>
      <w:r>
        <w:rPr>
          <w:rFonts w:ascii="Courier New" w:hAnsi="Courier New"/>
          <w:b w:val="0"/>
          <w:i w:val="0"/>
        </w:rPr>
        <w:t>数据字典.md</w:t>
      </w:r>
      <w:r>
        <w:rPr>
          <w:b w:val="0"/>
          <w:i w:val="0"/>
        </w:rPr>
        <w:t>); roughly 40 quarterly observations with a 2017–18 bankruptcy gap.</w:t>
      </w:r>
    </w:p>
    <w:p>
      <w:r>
        <w:rPr>
          <w:b w:val="0"/>
          <w:i w:val="0"/>
        </w:rPr>
        <w:t xml:space="preserve">- </w:t>
      </w:r>
      <w:r>
        <w:rPr>
          <w:rFonts w:ascii="Courier New" w:hAnsi="Courier New"/>
          <w:b w:val="0"/>
          <w:i w:val="0"/>
        </w:rPr>
        <w:t>orderbook_merged.csv</w:t>
      </w:r>
      <w:r>
        <w:rPr>
          <w:b w:val="0"/>
          <w:i w:val="0"/>
        </w:rPr>
        <w:t>: cross-ten-firm annual "rigs under construction / on order," confidence-graded, avoiding revenue backlog (demand side).</w:t>
      </w:r>
    </w:p>
    <w:p>
      <w:r>
        <w:rPr>
          <w:b w:val="0"/>
          <w:i w:val="0"/>
        </w:rPr>
        <w:t xml:space="preserve">- </w:t>
      </w:r>
      <w:r>
        <w:rPr>
          <w:rFonts w:ascii="Courier New" w:hAnsi="Courier New"/>
          <w:b w:val="0"/>
          <w:i w:val="0"/>
        </w:rPr>
        <w:t>fleet_panel.csv</w:t>
      </w:r>
      <w:r>
        <w:rPr>
          <w:b w:val="0"/>
          <w:i w:val="0"/>
        </w:rPr>
        <w:t>: ESV/NE/ATW/PGN etc. quarterly fleet utilization and dayrates.</w:t>
      </w:r>
    </w:p>
    <w:p>
      <w:r>
        <w:rPr>
          <w:b w:val="0"/>
          <w:i w:val="0"/>
        </w:rPr>
        <w:t xml:space="preserve">- </w:t>
      </w:r>
      <w:r>
        <w:rPr>
          <w:rFonts w:ascii="Courier New" w:hAnsi="Courier New"/>
          <w:b w:val="0"/>
          <w:i w:val="0"/>
        </w:rPr>
        <w:t>fred_panel.csv</w:t>
      </w:r>
      <w:r>
        <w:rPr>
          <w:b w:val="0"/>
          <w:i w:val="0"/>
        </w:rPr>
        <w:t>: FRED quarterly panel (federal funds rate, CPI, high-yield OAS, C&amp;I loans, WTI/Brent, Fed balance sheet, 5-year breakeven inflation expectation).</w:t>
      </w:r>
    </w:p>
    <w:p>
      <w:r>
        <w:rPr>
          <w:b w:val="0"/>
          <w:i w:val="0"/>
        </w:rPr>
        <w:t xml:space="preserve">- </w:t>
      </w:r>
      <w:r>
        <w:rPr>
          <w:rFonts w:ascii="Courier New" w:hAnsi="Courier New"/>
          <w:b w:val="0"/>
          <w:i w:val="0"/>
        </w:rPr>
        <w:t>industry_util_factor.csv</w:t>
      </w:r>
      <w:r>
        <w:rPr>
          <w:b w:val="0"/>
          <w:i w:val="0"/>
        </w:rPr>
        <w:t>: fleet-weighted industry utilization common factor (</w:t>
      </w:r>
      <m:oMath>
        <m:r>
          <m:rPr>
            <m:sty m:val="i"/>
          </m:rPr>
          <m:t>Σ</m:t>
        </m:r>
      </m:oMath>
      <w:r>
        <w:rPr>
          <w:b w:val="0"/>
          <w:i w:val="0"/>
        </w:rPr>
        <w:t xml:space="preserve"> in-contract / </w:t>
      </w:r>
      <m:oMath>
        <m:r>
          <m:rPr>
            <m:sty m:val="i"/>
          </m:rPr>
          <m:t>Σ</m:t>
        </m:r>
      </m:oMath>
      <w:r>
        <w:rPr>
          <w:b w:val="0"/>
          <w:i w:val="0"/>
        </w:rPr>
        <w:t xml:space="preserve"> total rigs, 2006–2026).</w:t>
      </w:r>
    </w:p>
    <w:p>
      <w:r>
        <w:rPr>
          <w:b/>
          <w:i w:val="0"/>
        </w:rPr>
        <w:t>Interest-rate regime definition:</w:t>
      </w:r>
      <w:r>
        <w:rPr>
          <w:b w:val="0"/>
          <w:i w:val="0"/>
        </w:rPr>
        <w:t xml:space="preserve"> low-rate window = 2010–2014 (ZIRP+QE) and 2020–2021 (negative real rates, but a capital-discipline period, treated as a moderator); high-rate window = 2022–2025 (Fed exogenous tightening due to inflation).</w:t>
      </w:r>
    </w:p>
    <w:p>
      <w:pPr>
        <w:pStyle w:val="Heading1"/>
      </w:pPr>
      <w:r>
        <w:rPr>
          <w:b w:val="0"/>
          <w:i w:val="0"/>
        </w:rPr>
        <w:t>Identification Strategy: The Triangular Framework</w:t>
      </w:r>
    </w:p>
    <w:p>
      <w:r>
        <w:rPr>
          <w:b w:val="0"/>
          <w:i w:val="0"/>
        </w:rPr>
        <w:t>The main case rests on three layers of evidence plus one exclusionary quasi-experiment, mutually independent and mutually reinforcing:</w:t>
      </w:r>
    </w:p>
    <w:p>
      <w:r>
        <w:rPr>
          <w:b w:val="0"/>
          <w:i w:val="0"/>
        </w:rPr>
        <w:t xml:space="preserve">- </w:t>
      </w:r>
      <w:r>
        <w:rPr>
          <w:b/>
          <w:i w:val="0"/>
        </w:rPr>
        <w:t xml:space="preserve">Layer 1 </w:t>
      </w:r>
      <m:oMath>
        <m:r>
          <m:t>·</m:t>
        </m:r>
      </m:oMath>
      <w:r>
        <w:rPr>
          <w:b/>
          <w:i w:val="0"/>
        </w:rPr>
        <w:t xml:space="preserve"> same-firm conditional response (mechanism):</w:t>
      </w:r>
      <w:r>
        <w:rPr>
          <w:b w:val="0"/>
          <w:i w:val="0"/>
        </w:rPr>
        <w:t xml:space="preserve"> RIG investment intensity (capex / net PPE) regressed on a low-rate dummy, utilization, and their interaction, within-firm and annual. Core test: the sign and significance of </w:t>
      </w:r>
      <m:oMath>
        <m:r>
          <m:rPr>
            <m:sty m:val="p"/>
          </m:rPr>
          <m:t>low</m:t>
        </m:r>
        <m:r>
          <m:t>×</m:t>
        </m:r>
        <m:r>
          <m:rPr>
            <m:sty m:val="p"/>
          </m:rPr>
          <m:t>util</m:t>
        </m:r>
      </m:oMath>
      <w:r>
        <w:rPr>
          <w:b w:val="0"/>
          <w:i w:val="0"/>
        </w:rPr>
        <w:t>.</w:t>
      </w:r>
    </w:p>
    <w:p>
      <w:r>
        <w:rPr>
          <w:b w:val="0"/>
          <w:i w:val="0"/>
        </w:rPr>
        <w:t xml:space="preserve">- </w:t>
      </w:r>
      <w:r>
        <w:rPr>
          <w:b/>
          <w:i w:val="0"/>
        </w:rPr>
        <w:t xml:space="preserve">Layer 2 </w:t>
      </w:r>
      <m:oMath>
        <m:r>
          <m:t>·</m:t>
        </m:r>
      </m:oMath>
      <w:r>
        <w:rPr>
          <w:b/>
          <w:i w:val="0"/>
        </w:rPr>
        <w:t xml:space="preserve"> cross-firm orderbook panel (generality):</w:t>
      </w:r>
      <w:r>
        <w:rPr>
          <w:b w:val="0"/>
          <w:i w:val="0"/>
        </w:rPr>
        <w:t xml:space="preserve"> compare mean annual rigs under construction across the ten firms by rate window.</w:t>
      </w:r>
    </w:p>
    <w:p>
      <w:r>
        <w:rPr>
          <w:b w:val="0"/>
          <w:i w:val="0"/>
        </w:rPr>
        <w:t xml:space="preserve">- </w:t>
      </w:r>
      <w:r>
        <w:rPr>
          <w:b/>
          <w:i w:val="0"/>
        </w:rPr>
        <w:t xml:space="preserve">Layer 3 </w:t>
      </w:r>
      <m:oMath>
        <m:r>
          <m:t>·</m:t>
        </m:r>
      </m:oMath>
      <w:r>
        <w:rPr>
          <w:b/>
          <w:i w:val="0"/>
        </w:rPr>
        <w:t xml:space="preserve"> structural leadership (timing):</w:t>
      </w:r>
      <w:r>
        <w:rPr>
          <w:b w:val="0"/>
          <w:i w:val="0"/>
        </w:rPr>
        <w:t xml:space="preserve"> year-</w:t>
      </w:r>
      <m:oMath>
        <m:r>
          <m:rPr>
            <m:sty m:val="i"/>
          </m:rPr>
          <m:t>t</m:t>
        </m:r>
      </m:oMath>
      <w:r>
        <w:rPr>
          <w:b w:val="0"/>
          <w:i w:val="0"/>
        </w:rPr>
        <w:t xml:space="preserve"> newbuild </w:t>
      </w:r>
      <m:oMath>
        <m:r>
          <m:t>→</m:t>
        </m:r>
      </m:oMath>
      <w:r>
        <w:rPr>
          <w:b w:val="0"/>
          <w:i w:val="0"/>
        </w:rPr>
        <w:t xml:space="preserve"> 3–5 year delivery into the fleet; the orderbook is a natural lead indicator of utilization expansion, and ordinally leads capex (capex is flattened by the construction-period cash flow).</w:t>
      </w:r>
    </w:p>
    <w:p>
      <w:r>
        <w:rPr>
          <w:b w:val="0"/>
          <w:i w:val="0"/>
        </w:rPr>
        <w:t xml:space="preserve">- </w:t>
      </w:r>
      <w:r>
        <w:rPr>
          <w:b/>
          <w:i w:val="0"/>
        </w:rPr>
        <w:t xml:space="preserve">Layer 4 </w:t>
      </w:r>
      <m:oMath>
        <m:r>
          <m:t>·</m:t>
        </m:r>
      </m:oMath>
      <w:r>
        <w:rPr>
          <w:b/>
          <w:i w:val="0"/>
        </w:rPr>
        <w:t xml:space="preserve"> 2022 exogenous tightening quasi-experiment (exclusion):</w:t>
      </w:r>
      <w:r>
        <w:rPr>
          <w:b w:val="0"/>
          <w:i w:val="0"/>
        </w:rPr>
        <w:t xml:space="preserve"> the tightening is exogenous to offshore demand; with oil price / dayrate / utilization all high but newbuild subdued, it reverse-falsifies "demand-driven" and pins the rate channel.</w:t>
      </w:r>
    </w:p>
    <w:p>
      <w:r>
        <w:rPr>
          <w:b w:val="0"/>
          <w:i w:val="0"/>
        </w:rPr>
        <w:t xml:space="preserve">- </w:t>
      </w:r>
      <w:r>
        <w:rPr>
          <w:b/>
          <w:i w:val="0"/>
        </w:rPr>
        <w:t xml:space="preserve">Layer 5 </w:t>
      </w:r>
      <m:oMath>
        <m:r>
          <m:t>·</m:t>
        </m:r>
      </m:oMath>
      <w:r>
        <w:rPr>
          <w:b/>
          <w:i w:val="0"/>
        </w:rPr>
        <w:t xml:space="preserve"> industry-utilization conditioning (robustness):</w:t>
      </w:r>
      <w:r>
        <w:rPr>
          <w:b w:val="0"/>
          <w:i w:val="0"/>
        </w:rPr>
        <w:t xml:space="preserve"> using the industry utilization common factor as a conditioning variable, test whether Layer 2 is merely an accelerator-confounding artifact.</w:t>
      </w:r>
    </w:p>
    <w:p>
      <w:r>
        <w:rPr>
          <w:b/>
          <w:i w:val="0"/>
        </w:rPr>
        <w:t>Red lines (throughout):</w:t>
      </w:r>
      <w:r>
        <w:rPr>
          <w:b w:val="0"/>
          <w:i w:val="0"/>
        </w:rPr>
        <w:t xml:space="preserve"> (1) the capex time-domain phase-lead hypothesis is falsified (</w:t>
      </w:r>
      <m:oMath>
        <m:r>
          <m:t>≈</m:t>
        </m:r>
        <m:r>
          <m:t>-</m:t>
        </m:r>
        <m:sSup>
          <m:e>
            <m:r>
              <m:t>15</m:t>
            </m:r>
          </m:e>
          <m:sup>
            <m:r>
              <m:t>∘</m:t>
            </m:r>
          </m:sup>
        </m:sSup>
      </m:oMath>
      <w:r>
        <w:rPr>
          <w:b w:val="0"/>
          <w:i w:val="0"/>
        </w:rPr>
        <w:t xml:space="preserve"> no rotation, a signature of the investment accelerator) and recorded as a null result; the orderbook is </w:t>
      </w:r>
      <w:r>
        <w:rPr>
          <w:b w:val="0"/>
          <w:i/>
        </w:rPr>
        <w:t>never</w:t>
      </w:r>
      <w:r>
        <w:rPr>
          <w:b w:val="0"/>
          <w:i w:val="0"/>
        </w:rPr>
        <w:t xml:space="preserve"> used to "rescue" that hypothesis. (2) the user's intuition "at equal utilization, low vs high rate update intensity differs" is framed as a </w:t>
      </w:r>
      <w:r>
        <w:rPr>
          <w:b w:val="0"/>
          <w:i/>
        </w:rPr>
        <w:t>cross-sectional phase analogy / response-function shift</w:t>
      </w:r>
      <w:r>
        <w:rPr>
          <w:b w:val="0"/>
          <w:i w:val="0"/>
        </w:rPr>
        <w:t xml:space="preserve">, not a "phase lead." (3) the main case is </w:t>
      </w:r>
      <w:r>
        <w:rPr>
          <w:b w:val="0"/>
          <w:i/>
        </w:rPr>
        <w:t>conditional corroboration, not proof</w:t>
      </w:r>
      <w:r>
        <w:rPr>
          <w:b w:val="0"/>
          <w:i w:val="0"/>
        </w:rPr>
        <w:t>.</w:t>
      </w:r>
    </w:p>
    <w:p>
      <w:pPr>
        <w:pStyle w:val="Heading1"/>
      </w:pPr>
      <w:r>
        <w:rPr>
          <w:b w:val="0"/>
          <w:i w:val="0"/>
        </w:rPr>
        <w:t>Results</w:t>
      </w:r>
    </w:p>
    <w:p>
      <w:pPr>
        <w:pStyle w:val="Heading2"/>
      </w:pPr>
      <w:r>
        <w:rPr>
          <w:b w:val="0"/>
          <w:i w:val="0"/>
        </w:rPr>
        <w:t>Layer 1: Same-Firm Conditional Response (RIG)</w:t>
      </w:r>
    </w:p>
    <w:p>
      <w:r>
        <w:rPr>
          <w:b w:val="0"/>
          <w:i w:val="0"/>
        </w:rPr>
        <w:t xml:space="preserve">Interaction regression (investment intensity </w:t>
      </w:r>
      <m:oMath>
        <m:r>
          <m:t>=</m:t>
        </m:r>
        <m:r>
          <m:rPr>
            <m:sty m:val="i"/>
          </m:rPr>
          <m:t>β</m:t>
        </m:r>
        <m:r>
          <m:t>·</m:t>
        </m:r>
        <m:r>
          <m:rPr>
            <m:sty m:val="p"/>
          </m:rPr>
          <m:t>low</m:t>
        </m:r>
        <m:r>
          <m:t>+</m:t>
        </m:r>
        <m:r>
          <m:rPr>
            <m:sty m:val="i"/>
          </m:rPr>
          <m:t>γ</m:t>
        </m:r>
        <m:r>
          <m:t>·</m:t>
        </m:r>
        <m:r>
          <m:rPr>
            <m:sty m:val="p"/>
          </m:rPr>
          <m:t>util</m:t>
        </m:r>
        <m:r>
          <m:t>+</m:t>
        </m:r>
        <m:r>
          <m:rPr>
            <m:sty m:val="i"/>
          </m:rPr>
          <m:t>δ</m:t>
        </m:r>
        <m:r>
          <m:t>·</m:t>
        </m:r>
        <m:r>
          <m:t>(</m:t>
        </m:r>
        <m:r>
          <m:rPr>
            <m:sty m:val="p"/>
          </m:rPr>
          <m:t>low</m:t>
        </m:r>
        <m:r>
          <m:t>×</m:t>
        </m:r>
        <m:r>
          <m:rPr>
            <m:sty m:val="p"/>
          </m:rPr>
          <m:t>util</m:t>
        </m:r>
        <m:sSub>
          <m:e>
            <m:r>
              <m:t>)</m:t>
            </m:r>
          </m:e>
          <m:sub>
            <m:r>
              <m:rPr>
                <m:sty m:val="i"/>
              </m:rPr>
              <m:t>i</m:t>
            </m:r>
          </m:sub>
        </m:sSub>
        <m:r>
          <m:t>+</m:t>
        </m:r>
        <m:sSub>
          <m:e>
            <m:r>
              <m:rPr>
                <m:sty m:val="i"/>
              </m:rPr>
              <m:t>ε</m:t>
            </m:r>
          </m:e>
          <m:sub>
            <m:r>
              <m:rPr>
                <m:sty m:val="i"/>
              </m:rPr>
              <m:t>i</m:t>
            </m:r>
          </m:sub>
        </m:sSub>
      </m:oMath>
      <w:r>
        <w:rPr>
          <w:b w:val="0"/>
          <w:i w:val="0"/>
        </w:rPr>
        <w:t>, HC0 robust SE):</w:t>
      </w:r>
    </w:p>
    <w:p>
      <w:pPr>
        <w:jc w:val="center"/>
      </w:pPr>
      <m:oMathPara>
        <m:oMath>
          <m:sSub>
            <m:e>
              <m:r>
                <m:rPr>
                  <m:sty m:val="p"/>
                </m:rPr>
                <m:t>intensity</m:t>
              </m:r>
            </m:e>
            <m:sub>
              <m:r>
                <m:rPr>
                  <m:sty m:val="i"/>
                </m:rPr>
                <m:t>i</m:t>
              </m:r>
            </m:sub>
          </m:sSub>
          <m:r>
            <m:t>=</m:t>
          </m:r>
          <m:r>
            <m:rPr>
              <m:sty m:val="i"/>
            </m:rPr>
            <m:t>β</m:t>
          </m:r>
          <m:r>
            <m:t>·</m:t>
          </m:r>
          <m:sSub>
            <m:e>
              <m:r>
                <m:rPr>
                  <m:sty m:val="p"/>
                </m:rPr>
                <m:t>low</m:t>
              </m:r>
            </m:e>
            <m:sub>
              <m:r>
                <m:rPr>
                  <m:sty m:val="i"/>
                </m:rPr>
                <m:t>i</m:t>
              </m:r>
            </m:sub>
          </m:sSub>
          <m:r>
            <m:t>+</m:t>
          </m:r>
          <m:r>
            <m:rPr>
              <m:sty m:val="i"/>
            </m:rPr>
            <m:t>γ</m:t>
          </m:r>
          <m:r>
            <m:t>·</m:t>
          </m:r>
          <m:sSub>
            <m:e>
              <m:r>
                <m:rPr>
                  <m:sty m:val="p"/>
                </m:rPr>
                <m:t>util</m:t>
              </m:r>
            </m:e>
            <m:sub>
              <m:r>
                <m:rPr>
                  <m:sty m:val="i"/>
                </m:rPr>
                <m:t>i</m:t>
              </m:r>
            </m:sub>
          </m:sSub>
          <m:r>
            <m:t>+</m:t>
          </m:r>
          <m:r>
            <m:rPr>
              <m:sty m:val="i"/>
            </m:rPr>
            <m:t>δ</m:t>
          </m:r>
          <m:r>
            <m:t>·</m:t>
          </m:r>
          <m:r>
            <m:t>(</m:t>
          </m:r>
          <m:r>
            <m:rPr>
              <m:sty m:val="p"/>
            </m:rPr>
            <m:t>low</m:t>
          </m:r>
          <m:r>
            <m:t>×</m:t>
          </m:r>
          <m:r>
            <m:rPr>
              <m:sty m:val="p"/>
            </m:rPr>
            <m:t>util</m:t>
          </m:r>
          <m:sSub>
            <m:e>
              <m:r>
                <m:t>)</m:t>
              </m:r>
            </m:e>
            <m:sub>
              <m:r>
                <m:rPr>
                  <m:sty m:val="i"/>
                </m:rPr>
                <m:t>i</m:t>
              </m:r>
            </m:sub>
          </m:sSub>
          <m:r>
            <m:t>+</m:t>
          </m:r>
          <m:sSub>
            <m:e>
              <m:r>
                <m:rPr>
                  <m:sty m:val="i"/>
                </m:rPr>
                <m:t>ε</m:t>
              </m:r>
            </m:e>
            <m:sub>
              <m:r>
                <m:rPr>
                  <m:sty m:val="i"/>
                </m:rPr>
                <m:t>i</m:t>
              </m:r>
            </m:sub>
          </m:sSub>
          <m:r>
            <m:t>.</m:t>
          </m:r>
        </m:oMath>
      </m:oMathPara>
    </w:p>
    <w:p>
      <w:r>
        <w:rPr>
          <w:b w:val="0"/>
          <w:i w:val="0"/>
        </w:rPr>
        <w:t xml:space="preserve">- </w:t>
      </w:r>
      <m:oMath>
        <m:r>
          <m:rPr>
            <m:sty m:val="p"/>
          </m:rPr>
          <m:t>low</m:t>
        </m:r>
        <m:r>
          <m:t>×</m:t>
        </m:r>
        <m:r>
          <m:rPr>
            <m:sty m:val="p"/>
          </m:rPr>
          <m:t>util</m:t>
        </m:r>
        <m:r>
          <m:t>=</m:t>
        </m:r>
        <m:r>
          <m:t>+</m:t>
        </m:r>
        <m:r>
          <m:t>0.0037</m:t>
        </m:r>
      </m:oMath>
      <w:r>
        <w:rPr>
          <w:b w:val="0"/>
          <w:i w:val="0"/>
        </w:rPr>
        <w:t xml:space="preserve"> (</w:t>
      </w:r>
      <m:oMath>
        <m:r>
          <m:rPr>
            <m:sty m:val="i"/>
          </m:rPr>
          <m:t>t</m:t>
        </m:r>
        <m:r>
          <m:t>=</m:t>
        </m:r>
        <m:r>
          <m:t>9.04</m:t>
        </m:r>
      </m:oMath>
      <w:r>
        <w:rPr>
          <w:b w:val="0"/>
          <w:i w:val="0"/>
        </w:rPr>
        <w:t xml:space="preserve">); </w:t>
      </w:r>
      <m:oMath>
        <m:r>
          <m:t>+</m:t>
        </m:r>
        <m:r>
          <m:t>0.0038</m:t>
        </m:r>
      </m:oMath>
      <w:r>
        <w:rPr>
          <w:b w:val="0"/>
          <w:i w:val="0"/>
        </w:rPr>
        <w:t xml:space="preserve"> (</w:t>
      </w:r>
      <m:oMath>
        <m:r>
          <m:rPr>
            <m:sty m:val="i"/>
          </m:rPr>
          <m:t>t</m:t>
        </m:r>
        <m:r>
          <m:t>=</m:t>
        </m:r>
        <m:r>
          <m:t>10.10</m:t>
        </m:r>
      </m:oMath>
      <w:r>
        <w:rPr>
          <w:b w:val="0"/>
          <w:i w:val="0"/>
        </w:rPr>
        <w:t>) after controlling for 5-year inflation expectation, stable in sign.</w:t>
      </w:r>
    </w:p>
    <w:p>
      <w:r>
        <w:rPr>
          <w:b w:val="0"/>
          <w:i w:val="0"/>
        </w:rPr>
        <w:t xml:space="preserve">- Economic meaning: at </w:t>
      </w:r>
      <w:r>
        <w:rPr>
          <w:b/>
          <w:i w:val="0"/>
        </w:rPr>
        <w:t>equal utilization</w:t>
      </w:r>
      <w:r>
        <w:rPr>
          <w:b w:val="0"/>
          <w:i w:val="0"/>
        </w:rPr>
        <w:t>, the low-rate window shows higher investment intensity, and the premium widens toward the top of the cycle—credit distortion is fiercest at the peak ("malinvestment at the peak").</w:t>
      </w:r>
    </w:p>
    <w:p>
      <w:r>
        <w:rPr>
          <w:b w:val="0"/>
          <w:i w:val="0"/>
        </w:rPr>
        <w:t xml:space="preserve">- Descriptive: low-rate window (2010–14) mean capex </w:t>
      </w:r>
      <w:r>
        <w:rPr>
          <w:b/>
          <w:i w:val="0"/>
        </w:rPr>
        <w:t>1.63 B$</w:t>
      </w:r>
      <w:r>
        <w:rPr>
          <w:b w:val="0"/>
          <w:i w:val="0"/>
        </w:rPr>
        <w:t xml:space="preserve"> vs high-rate window (2022–25) </w:t>
      </w:r>
      <w:r>
        <w:rPr>
          <w:b/>
          <w:i w:val="0"/>
        </w:rPr>
        <w:t>0.38 B$</w:t>
      </w:r>
      <w:r>
        <w:rPr>
          <w:b w:val="0"/>
          <w:i w:val="0"/>
        </w:rPr>
        <w:t xml:space="preserve"> = </w:t>
      </w:r>
      <w:r>
        <w:rPr>
          <w:b/>
          <w:i w:val="0"/>
        </w:rPr>
        <w:t>4.28</w:t>
      </w:r>
      <m:oMath>
        <m:r>
          <m:t>×</m:t>
        </m:r>
      </m:oMath>
      <w:r>
        <w:rPr>
          <w:b w:val="0"/>
          <w:i w:val="0"/>
        </w:rPr>
        <w:t xml:space="preserve"> over-allocation.</w:t>
      </w:r>
    </w:p>
    <w:p>
      <w:r>
        <w:rPr>
          <w:b w:val="0"/>
          <w:i w:val="0"/>
        </w:rPr>
        <w:t xml:space="preserve">- Small sample </w:t>
      </w:r>
      <m:oMath>
        <m:r>
          <m:rPr>
            <m:sty m:val="i"/>
          </m:rPr>
          <m:t>N</m:t>
        </m:r>
      </m:oMath>
      <w:r>
        <w:rPr>
          <w:b w:val="0"/>
          <w:i w:val="0"/>
        </w:rPr>
        <w:t xml:space="preserve"> (RIG only, low/high windows combined </w:t>
      </w:r>
      <m:oMath>
        <m:r>
          <m:rPr>
            <m:sty m:val="i"/>
          </m:rPr>
          <m:t>N</m:t>
        </m:r>
        <m:r>
          <m:t>=</m:t>
        </m:r>
        <m:r>
          <m:t>9</m:t>
        </m:r>
      </m:oMath>
      <w:r>
        <w:rPr>
          <w:b w:val="0"/>
          <w:i w:val="0"/>
        </w:rPr>
        <w:t xml:space="preserve"> annual observations, the two epochs separated by 8 years); </w:t>
      </w:r>
      <m:oMath>
        <m:r>
          <m:rPr>
            <m:sty m:val="i"/>
          </m:rPr>
          <m:t>t</m:t>
        </m:r>
      </m:oMath>
      <w:r>
        <w:rPr>
          <w:b w:val="0"/>
          <w:i w:val="0"/>
        </w:rPr>
        <w:t>-values are not inferential evidence, only directional indicators.</w:t>
      </w:r>
    </w:p>
    <w:p>
      <w:r>
        <w:rPr>
          <w:b w:val="0"/>
          <w:i w:val="0"/>
        </w:rPr>
        <w:t xml:space="preserve">- </w:t>
      </w:r>
      <w:r>
        <w:rPr>
          <w:b/>
          <w:i w:val="0"/>
        </w:rPr>
        <w:t>Agent-variation confounding (must be disclosed):</w:t>
      </w:r>
      <w:r>
        <w:rPr>
          <w:b w:val="0"/>
          <w:i w:val="0"/>
        </w:rPr>
        <w:t xml:space="preserve"> the two epochs (2010–14 low-rate vs 2022–25 high-rate) straddle RIG's </w:t>
      </w:r>
      <w:r>
        <w:rPr>
          <w:b/>
          <w:i w:val="0"/>
        </w:rPr>
        <w:t>2017 Chapter 11 restructuring</w:t>
      </w:r>
      <w:r>
        <w:rPr>
          <w:b w:val="0"/>
          <w:i w:val="0"/>
        </w:rPr>
        <w:t xml:space="preserve"> (filed 2017, exited 2018). So "same firm" is in fact a comparison of </w:t>
      </w:r>
      <w:r>
        <w:rPr>
          <w:b w:val="0"/>
          <w:i/>
        </w:rPr>
        <w:t>pre-restructuring (2010–14) vs post-restructuring (2022–25) agents</w:t>
      </w:r>
      <w:r>
        <w:rPr>
          <w:b w:val="0"/>
          <w:i w:val="0"/>
        </w:rPr>
        <w:t>—the balance sheet, capital structure, and governance were reorganized; the 2022–25 low newbuild may also partly reflect post-restructuring endogenous capital discipline, not pure rate effect. This is an observational ceiling the main case cannot remove (see Limitations).</w:t>
      </w:r>
    </w:p>
    <w:p>
      <w:pPr>
        <w:pStyle w:val="Heading2"/>
      </w:pPr>
      <w:r>
        <w:rPr>
          <w:b w:val="0"/>
          <w:i w:val="0"/>
        </w:rPr>
        <w:t>Layer 2: Cross-Firm Orderbook Panel</w:t>
      </w:r>
    </w:p>
    <w:p>
      <w:r>
        <w:rPr>
          <w:b w:val="0"/>
          <w:i w:val="0"/>
        </w:rPr>
        <w:t>Mean annual rigs under construction / firm-year (</w:t>
      </w:r>
      <w:r>
        <w:rPr>
          <w:b/>
          <w:i w:val="0"/>
        </w:rPr>
        <w:t>confidence unified to high+med, consistent with Layer 5</w:t>
      </w:r>
      <w:r>
        <w:rPr>
          <w:b w:val="0"/>
          <w:i w:val="0"/>
        </w:rPr>
        <w:t xml:space="preserve">): 2010–14 low-stim window </w:t>
      </w:r>
      <w:r>
        <w:rPr>
          <w:b/>
          <w:i w:val="0"/>
        </w:rPr>
        <w:t>21.4</w:t>
      </w:r>
      <w:r>
        <w:rPr>
          <w:b w:val="0"/>
          <w:i w:val="0"/>
        </w:rPr>
        <w:t xml:space="preserve"> </w:t>
      </w:r>
      <m:oMath>
        <m:r>
          <m:rPr>
            <m:sty m:val="p"/>
          </m:rPr>
          <m:t>gg</m:t>
        </m:r>
      </m:oMath>
      <w:r>
        <w:rPr>
          <w:b w:val="0"/>
          <w:i w:val="0"/>
        </w:rPr>
        <w:t xml:space="preserve"> 2022–25 high </w:t>
      </w:r>
      <w:r>
        <w:rPr>
          <w:b/>
          <w:i w:val="0"/>
        </w:rPr>
        <w:t>12.8</w:t>
      </w:r>
      <w:r>
        <w:rPr>
          <w:b w:val="0"/>
          <w:i w:val="0"/>
        </w:rPr>
        <w:t xml:space="preserve"> </w:t>
      </w:r>
      <m:oMath>
        <m:r>
          <m:t>&gt;</m:t>
        </m:r>
      </m:oMath>
      <w:r>
        <w:rPr>
          <w:b w:val="0"/>
          <w:i w:val="0"/>
        </w:rPr>
        <w:t xml:space="preserve"> 2020–21 low (capital discipline) </w:t>
      </w:r>
      <w:r>
        <w:rPr>
          <w:b/>
          <w:i w:val="0"/>
        </w:rPr>
        <w:t>7.0</w:t>
      </w:r>
      <w:r>
        <w:rPr>
          <w:b w:val="0"/>
          <w:i w:val="0"/>
        </w:rPr>
        <w:t xml:space="preserve">. A second independent dataset confirms: low rates amplify newbuilding </w:t>
      </w:r>
      <w:r>
        <w:rPr>
          <w:b w:val="0"/>
          <w:i/>
        </w:rPr>
        <w:t>only when capital discipline is absent</w:t>
      </w:r>
      <w:r>
        <w:rPr>
          <w:b w:val="0"/>
          <w:i w:val="0"/>
        </w:rPr>
        <w:t xml:space="preserve"> (2020–21 low rates yet lowest, exactly the discipline period). Note: including low-confidence records gives 21.8 / 15.9 / 15.2, inconsistent with Layer 5's口径; we therefore unify on high+med.</w:t>
      </w:r>
    </w:p>
    <w:p>
      <w:pPr>
        <w:pStyle w:val="Heading2"/>
      </w:pPr>
      <w:r>
        <w:rPr>
          <w:b w:val="0"/>
          <w:i w:val="0"/>
        </w:rPr>
        <w:t>Layer 3: Structural Leadership</w:t>
      </w:r>
    </w:p>
    <w:p>
      <w:r>
        <w:rPr>
          <w:b w:val="0"/>
          <w:i w:val="0"/>
        </w:rPr>
        <w:t xml:space="preserve">The orderbook annual count naturally leads utilization expansion by 3–5 years (delivery lag). This is </w:t>
      </w:r>
      <w:r>
        <w:rPr>
          <w:b w:val="0"/>
          <w:i/>
        </w:rPr>
        <w:t>structural evidence</w:t>
      </w:r>
      <w:r>
        <w:rPr>
          <w:b w:val="0"/>
          <w:i w:val="0"/>
        </w:rPr>
        <w:t xml:space="preserve"> for Hayek's claim that "leadership lives in the orderbook, not in capex"—capex measures "payment" flattened to in-phase by the construction period (mechanically inevitable), while the orderbook measures "signed commitment," the true moment of misallocation.</w:t>
      </w:r>
    </w:p>
    <w:p>
      <w:pPr>
        <w:pStyle w:val="Heading2"/>
      </w:pPr>
      <w:r>
        <w:rPr>
          <w:b w:val="0"/>
          <w:i w:val="0"/>
        </w:rPr>
        <w:t>Layer 4: 2022 Exogenous Tightening Quasi-Experiment</w:t>
      </w:r>
    </w:p>
    <w:p>
      <w:r>
        <w:rPr>
          <w:b w:val="0"/>
          <w:i w:val="0"/>
        </w:rPr>
        <w:t xml:space="preserve">2022–25 industry utilization is </w:t>
      </w:r>
      <w:r>
        <w:rPr>
          <w:b/>
          <w:i w:val="0"/>
        </w:rPr>
        <w:t>higher than the 2010–14 low-stim window</w:t>
      </w:r>
      <w:r>
        <w:rPr>
          <w:b w:val="0"/>
          <w:i w:val="0"/>
        </w:rPr>
        <w:t xml:space="preserve"> (mean 0.456 vs 0.320) yet newbuild is lowest (mean 12.8; note 2024 alone reaches 0.657, the highest single year in the sample, still inside the high-rate window, sharpening the accelerator violation). The accelerator predicts "high util </w:t>
      </w:r>
      <m:oMath>
        <m:r>
          <m:t>→</m:t>
        </m:r>
      </m:oMath>
      <w:r>
        <w:rPr>
          <w:b w:val="0"/>
          <w:i w:val="0"/>
        </w:rPr>
        <w:t xml:space="preserve"> high newbuild"; the actual outcome </w:t>
      </w:r>
      <w:r>
        <w:rPr>
          <w:b/>
          <w:i w:val="0"/>
        </w:rPr>
        <w:t>violates</w:t>
      </w:r>
      <w:r>
        <w:rPr>
          <w:b w:val="0"/>
          <w:i w:val="0"/>
        </w:rPr>
        <w:t xml:space="preserve"> it—the sharpest cross-sectional evidence of rate suppression, and with oil price high concurrently, it isolates the competing "oil-price drives newbuild" explanation.</w:t>
      </w:r>
    </w:p>
    <w:p>
      <w:pPr>
        <w:pStyle w:val="Heading2"/>
      </w:pPr>
      <w:r>
        <w:rPr>
          <w:b w:val="0"/>
          <w:i w:val="0"/>
        </w:rPr>
        <w:t>Layer 5: Industry-Utilization Conditioning (Plugging the Accelerator Leak)</w:t>
      </w:r>
    </w:p>
    <w:p>
      <w:r>
        <w:rPr>
          <w:b w:val="0"/>
          <w:i w:val="0"/>
        </w:rPr>
        <w:t>Conditioning Layer 2 on the industry utilization common factor, three-regime regression (controlling industry utilization):</w:t>
      </w:r>
    </w:p>
    <w:p>
      <w:pPr>
        <w:jc w:val="center"/>
      </w:pPr>
      <m:oMathPara>
        <m:oMath>
          <m:sSub>
            <m:e>
              <m:r>
                <m:rPr>
                  <m:sty m:val="p"/>
                </m:rPr>
                <m:t>newbuild</m:t>
              </m:r>
            </m:e>
            <m:sub>
              <m:r>
                <m:rPr>
                  <m:sty m:val="i"/>
                </m:rPr>
                <m:t>i</m:t>
              </m:r>
            </m:sub>
          </m:sSub>
          <m:r>
            <m:t>=</m:t>
          </m:r>
          <m:sSub>
            <m:e>
              <m:r>
                <m:rPr>
                  <m:sty m:val="i"/>
                </m:rPr>
                <m:t>β</m:t>
              </m:r>
            </m:e>
            <m:sub>
              <m:r>
                <m:rPr>
                  <m:sty m:val="p"/>
                </m:rPr>
                <m:t>ls</m:t>
              </m:r>
            </m:sub>
          </m:sSub>
          <m:r>
            <m:t>·</m:t>
          </m:r>
          <m:sSub>
            <m:e>
              <m:r>
                <m:rPr>
                  <m:sty m:val="p"/>
                </m:rPr>
                <m:t>low\_stim</m:t>
              </m:r>
            </m:e>
            <m:sub>
              <m:r>
                <m:rPr>
                  <m:sty m:val="i"/>
                </m:rPr>
                <m:t>i</m:t>
              </m:r>
            </m:sub>
          </m:sSub>
          <m:r>
            <m:t>+</m:t>
          </m:r>
          <m:sSub>
            <m:e>
              <m:r>
                <m:rPr>
                  <m:sty m:val="i"/>
                </m:rPr>
                <m:t>β</m:t>
              </m:r>
            </m:e>
            <m:sub>
              <m:r>
                <m:rPr>
                  <m:sty m:val="p"/>
                </m:rPr>
                <m:t>ld</m:t>
              </m:r>
            </m:sub>
          </m:sSub>
          <m:r>
            <m:t>·</m:t>
          </m:r>
          <m:sSub>
            <m:e>
              <m:r>
                <m:rPr>
                  <m:sty m:val="p"/>
                </m:rPr>
                <m:t>low\_disc</m:t>
              </m:r>
            </m:e>
            <m:sub>
              <m:r>
                <m:rPr>
                  <m:sty m:val="i"/>
                </m:rPr>
                <m:t>i</m:t>
              </m:r>
            </m:sub>
          </m:sSub>
          <m:r>
            <m:t>+</m:t>
          </m:r>
          <m:sSub>
            <m:e>
              <m:r>
                <m:rPr>
                  <m:sty m:val="i"/>
                </m:rPr>
                <m:t>β</m:t>
              </m:r>
            </m:e>
            <m:sub>
              <m:r>
                <m:rPr>
                  <m:sty m:val="i"/>
                </m:rPr>
                <m:t>h</m:t>
              </m:r>
            </m:sub>
          </m:sSub>
          <m:r>
            <m:t>·</m:t>
          </m:r>
          <m:sSub>
            <m:e>
              <m:r>
                <m:rPr>
                  <m:sty m:val="p"/>
                </m:rPr>
                <m:t>high</m:t>
              </m:r>
            </m:e>
            <m:sub>
              <m:r>
                <m:rPr>
                  <m:sty m:val="i"/>
                </m:rPr>
                <m:t>i</m:t>
              </m:r>
            </m:sub>
          </m:sSub>
          <m:r>
            <m:t>+</m:t>
          </m:r>
          <m:r>
            <m:rPr>
              <m:sty m:val="i"/>
            </m:rPr>
            <m:t>γ</m:t>
          </m:r>
          <m:r>
            <m:t>·</m:t>
          </m:r>
          <m:sSub>
            <m:e>
              <m:r>
                <m:rPr>
                  <m:sty m:val="p"/>
                </m:rPr>
                <m:t>ind\_util</m:t>
              </m:r>
            </m:e>
            <m:sub>
              <m:r>
                <m:rPr>
                  <m:sty m:val="i"/>
                </m:rPr>
                <m:t>i</m:t>
              </m:r>
            </m:sub>
          </m:sSub>
          <m:r>
            <m:t>+</m:t>
          </m:r>
          <m:sSub>
            <m:e>
              <m:r>
                <m:rPr>
                  <m:sty m:val="i"/>
                </m:rPr>
                <m:t>ε</m:t>
              </m:r>
            </m:e>
            <m:sub>
              <m:r>
                <m:rPr>
                  <m:sty m:val="i"/>
                </m:rPr>
                <m:t>i</m:t>
              </m:r>
            </m:sub>
          </m:sSub>
          <m:r>
            <m:t>.</m:t>
          </m:r>
        </m:oMath>
      </m:oMathPara>
    </w:p>
    <w:p>
      <w:r>
        <w:rPr>
          <w:b w:val="0"/>
          <w:i w:val="0"/>
        </w:rPr>
        <w:t xml:space="preserve">- </w:t>
      </w:r>
      <m:oMath>
        <m:r>
          <m:rPr>
            <m:sty m:val="p"/>
          </m:rPr>
          <m:t>low\_stim</m:t>
        </m:r>
        <m:r>
          <m:t>(</m:t>
        </m:r>
        <m:r>
          <m:t>2010</m:t>
        </m:r>
        <m:r>
          <m:rPr>
            <m:sty m:val="p"/>
          </m:rPr>
          <m:t>--</m:t>
        </m:r>
        <m:r>
          <m:t>14</m:t>
        </m:r>
        <m:r>
          <m:t>)</m:t>
        </m:r>
        <m:r>
          <m:t>=</m:t>
        </m:r>
        <m:r>
          <m:t>+</m:t>
        </m:r>
        <m:r>
          <m:t>3.36</m:t>
        </m:r>
      </m:oMath>
      <w:r>
        <w:rPr>
          <w:b w:val="0"/>
          <w:i w:val="0"/>
        </w:rPr>
        <w:t xml:space="preserve"> (</w:t>
      </w:r>
      <m:oMath>
        <m:r>
          <m:rPr>
            <m:sty m:val="i"/>
          </m:rPr>
          <m:t>t</m:t>
        </m:r>
        <m:r>
          <m:t>=</m:t>
        </m:r>
        <m:r>
          <m:t>1.03</m:t>
        </m:r>
      </m:oMath>
      <w:r>
        <w:rPr>
          <w:b w:val="0"/>
          <w:i w:val="0"/>
        </w:rPr>
        <w:t xml:space="preserve">), </w:t>
      </w:r>
      <m:oMath>
        <m:r>
          <m:rPr>
            <m:sty m:val="p"/>
          </m:rPr>
          <m:t>low\_disc</m:t>
        </m:r>
        <m:r>
          <m:t>(</m:t>
        </m:r>
        <m:r>
          <m:t>2020</m:t>
        </m:r>
        <m:r>
          <m:rPr>
            <m:sty m:val="p"/>
          </m:rPr>
          <m:t>--</m:t>
        </m:r>
        <m:r>
          <m:t>21</m:t>
        </m:r>
        <m:r>
          <m:t>)</m:t>
        </m:r>
        <m:r>
          <m:t>=</m:t>
        </m:r>
        <m:r>
          <m:t>-</m:t>
        </m:r>
        <m:r>
          <m:t>14.28</m:t>
        </m:r>
      </m:oMath>
      <w:r>
        <w:rPr>
          <w:b w:val="0"/>
          <w:i w:val="0"/>
        </w:rPr>
        <w:t xml:space="preserve"> (</w:t>
      </w:r>
      <m:oMath>
        <m:r>
          <m:rPr>
            <m:sty m:val="i"/>
          </m:rPr>
          <m:t>t</m:t>
        </m:r>
        <m:r>
          <m:t>=</m:t>
        </m:r>
        <m:r>
          <m:t>-</m:t>
        </m:r>
        <m:r>
          <m:t>2.47</m:t>
        </m:r>
      </m:oMath>
      <w:r>
        <w:rPr>
          <w:b w:val="0"/>
          <w:i w:val="0"/>
        </w:rPr>
        <w:t xml:space="preserve">, significantly negative), </w:t>
      </w:r>
      <m:oMath>
        <m:r>
          <m:rPr>
            <m:sty m:val="p"/>
          </m:rPr>
          <m:t>high</m:t>
        </m:r>
        <m:r>
          <m:t>(</m:t>
        </m:r>
        <m:r>
          <m:t>2022</m:t>
        </m:r>
        <m:r>
          <m:rPr>
            <m:sty m:val="p"/>
          </m:rPr>
          <m:t>--</m:t>
        </m:r>
        <m:r>
          <m:t>25</m:t>
        </m:r>
        <m:r>
          <m:t>)</m:t>
        </m:r>
        <m:r>
          <m:t>=</m:t>
        </m:r>
        <m:r>
          <m:t>-</m:t>
        </m:r>
        <m:r>
          <m:t>7.97</m:t>
        </m:r>
      </m:oMath>
      <w:r>
        <w:rPr>
          <w:b w:val="0"/>
          <w:i w:val="0"/>
        </w:rPr>
        <w:t xml:space="preserve"> (</w:t>
      </w:r>
      <m:oMath>
        <m:r>
          <m:rPr>
            <m:sty m:val="i"/>
          </m:rPr>
          <m:t>t</m:t>
        </m:r>
        <m:r>
          <m:t>=</m:t>
        </m:r>
        <m:r>
          <m:t>-</m:t>
        </m:r>
        <m:r>
          <m:t>1.40</m:t>
        </m:r>
      </m:oMath>
      <w:r>
        <w:rPr>
          <w:b w:val="0"/>
          <w:i w:val="0"/>
        </w:rPr>
        <w:t xml:space="preserve">), </w:t>
      </w:r>
      <m:oMath>
        <m:r>
          <m:rPr>
            <m:sty m:val="p"/>
          </m:rPr>
          <m:t>ind\_util</m:t>
        </m:r>
        <m:r>
          <m:t>=</m:t>
        </m:r>
        <m:r>
          <m:t>+</m:t>
        </m:r>
        <m:r>
          <m:t>21.59</m:t>
        </m:r>
      </m:oMath>
      <w:r>
        <w:rPr>
          <w:b w:val="0"/>
          <w:i w:val="0"/>
        </w:rPr>
        <w:t xml:space="preserve"> (</w:t>
      </w:r>
      <m:oMath>
        <m:r>
          <m:rPr>
            <m:sty m:val="i"/>
          </m:rPr>
          <m:t>t</m:t>
        </m:r>
        <m:r>
          <m:t>=</m:t>
        </m:r>
        <m:r>
          <m:t>1.62</m:t>
        </m:r>
      </m:oMath>
      <w:r>
        <w:rPr>
          <w:b w:val="0"/>
          <w:i w:val="0"/>
        </w:rPr>
        <w:t>).</w:t>
      </w:r>
    </w:p>
    <w:p>
      <w:r>
        <w:rPr>
          <w:b w:val="0"/>
          <w:i w:val="0"/>
        </w:rPr>
        <w:t xml:space="preserve">- Meaning: the raw Layer 2 contrast contains </w:t>
      </w:r>
      <w:r>
        <w:rPr>
          <w:b/>
          <w:i w:val="0"/>
        </w:rPr>
        <w:t>accelerator + capital-discipline</w:t>
      </w:r>
      <w:r>
        <w:rPr>
          <w:b w:val="0"/>
          <w:i w:val="0"/>
        </w:rPr>
        <w:t xml:space="preserve"> double confounding. After controlling industry utilization, 2010–14 has about </w:t>
      </w:r>
      <w:r>
        <w:rPr>
          <w:b/>
          <w:i w:val="0"/>
        </w:rPr>
        <w:t>+11 more rigs</w:t>
      </w:r>
      <w:r>
        <w:rPr>
          <w:b w:val="0"/>
          <w:i w:val="0"/>
        </w:rPr>
        <w:t xml:space="preserve"> than 2022–25 (directional survival; high-rate sample only 4 cells, not significant); 2020–21 low rates in fact show fewer than high rates (</w:t>
      </w:r>
      <m:oMath>
        <m:r>
          <m:rPr>
            <m:sty m:val="i"/>
          </m:rPr>
          <m:t>β</m:t>
        </m:r>
        <m:r>
          <m:t>=</m:t>
        </m:r>
        <m:r>
          <m:t>-</m:t>
        </m:r>
        <m:r>
          <m:t>14.28</m:t>
        </m:r>
      </m:oMath>
      <w:r>
        <w:rPr>
          <w:b w:val="0"/>
          <w:i w:val="0"/>
        </w:rPr>
        <w:t xml:space="preserve"> significant) = quantitative confirmation of the capital-discipline moderator.</w:t>
      </w:r>
    </w:p>
    <w:p>
      <w:r>
        <w:rPr>
          <w:b w:val="0"/>
          <w:i w:val="0"/>
        </w:rPr>
        <w:t xml:space="preserve">- </w:t>
      </w:r>
      <w:r>
        <w:rPr>
          <w:b/>
          <w:i w:val="0"/>
        </w:rPr>
        <w:t>Effect on main case:</w:t>
      </w:r>
      <w:r>
        <w:rPr>
          <w:b w:val="0"/>
          <w:i w:val="0"/>
        </w:rPr>
        <w:t xml:space="preserve"> the cross-firm Layer 2 contrast is </w:t>
      </w:r>
      <w:r>
        <w:rPr>
          <w:b/>
          <w:i w:val="0"/>
        </w:rPr>
        <w:t>downgraded to conditional / auxiliary consistency</w:t>
      </w:r>
      <w:r>
        <w:rPr>
          <w:b w:val="0"/>
          <w:i w:val="0"/>
        </w:rPr>
        <w:t>; the main case leans on Layer 1 (cleanest) + Layer 4 (exclusion quasi-experiment) + Layer 3 (structural leadership).</w:t>
      </w:r>
    </w:p>
    <w:p>
      <w:r>
        <w:rPr>
          <w:b/>
          <w:i w:val="0"/>
        </w:rPr>
        <w:t>RIG single-case alignment</w:t>
      </w:r>
      <w:r>
        <w:rPr>
          <w:b w:val="0"/>
          <w:i w:val="0"/>
        </w:rPr>
        <w:t xml:space="preserve"> (illustrative, not a test): 2011 low-rate util </w:t>
      </w:r>
      <m:oMath>
        <m:r>
          <m:t>≈</m:t>
        </m:r>
        <m:r>
          <m:t>56</m:t>
        </m:r>
        <m:r>
          <m:rPr>
            <m:sty m:val="p"/>
          </m:rPr>
          <m:t>%</m:t>
        </m:r>
      </m:oMath>
      <w:r>
        <w:rPr>
          <w:b w:val="0"/>
          <w:i w:val="0"/>
        </w:rPr>
        <w:t xml:space="preserve"> newbuild 13 vs 2024 high-rate util </w:t>
      </w:r>
      <m:oMath>
        <m:r>
          <m:t>≈</m:t>
        </m:r>
        <m:r>
          <m:t>58</m:t>
        </m:r>
        <m:r>
          <m:rPr>
            <m:sty m:val="p"/>
          </m:rPr>
          <m:t>%</m:t>
        </m:r>
      </m:oMath>
      <w:r>
        <w:rPr>
          <w:b w:val="0"/>
          <w:i w:val="0"/>
        </w:rPr>
        <w:t xml:space="preserve"> newbuild 1 </w:t>
      </w:r>
      <m:oMath>
        <m:r>
          <m:t>≈</m:t>
        </m:r>
      </m:oMath>
      <w:r>
        <w:rPr>
          <w:b w:val="0"/>
          <w:i w:val="0"/>
        </w:rPr>
        <w:t xml:space="preserve"> </w:t>
      </w:r>
      <w:r>
        <w:rPr>
          <w:b/>
          <w:i w:val="0"/>
        </w:rPr>
        <w:t>13</w:t>
      </w:r>
      <m:oMath>
        <m:r>
          <m:t>×</m:t>
        </m:r>
      </m:oMath>
      <w:r>
        <w:rPr>
          <w:b w:val="0"/>
          <w:i w:val="0"/>
        </w:rPr>
        <w:t xml:space="preserve"> at equal utilization.</w:t>
      </w:r>
    </w:p>
    <w:tbl>
      <w:tblPr>
        <w:tblStyle w:val="TableGrid"/>
        <w:tblW w:type="auto" w:w="0"/>
        <w:tblLook w:firstColumn="1" w:firstRow="1" w:lastColumn="0" w:lastRow="0" w:noHBand="0" w:noVBand="1" w:val="04A0"/>
      </w:tblPr>
      <w:tblGrid>
        <w:gridCol w:w="2880"/>
        <w:gridCol w:w="2880"/>
        <w:gridCol w:w="2880"/>
      </w:tblGrid>
      <w:tr>
        <w:tc>
          <w:tcPr>
            <w:tcW w:type="dxa" w:w="2880"/>
          </w:tcPr>
          <w:p>
            <w:r>
              <w:rPr>
                <w:b w:val="0"/>
                <w:i w:val="0"/>
              </w:rPr>
              <w:t xml:space="preserve">Layer 1: lowrate </w:t>
            </w:r>
            <m:oMath>
              <m:r>
                <m:t>×</m:t>
              </m:r>
            </m:oMath>
            <w:r>
              <w:rPr>
                <w:b w:val="0"/>
                <w:i w:val="0"/>
              </w:rPr>
              <w:t xml:space="preserve"> util (inflation-expectation control)</w:t>
            </w:r>
          </w:p>
        </w:tc>
        <w:tc>
          <w:tcPr>
            <w:tcW w:type="dxa" w:w="2880"/>
          </w:tcPr>
          <w:p>
            <m:oMath>
              <m:r>
                <m:t>+</m:t>
              </m:r>
              <m:r>
                <m:t>0.0038</m:t>
              </m:r>
            </m:oMath>
          </w:p>
        </w:tc>
        <w:tc>
          <w:tcPr>
            <w:tcW w:type="dxa" w:w="2880"/>
          </w:tcPr>
          <w:p>
            <m:oMath>
              <m:r>
                <m:t>10.10</m:t>
              </m:r>
            </m:oMath>
          </w:p>
        </w:tc>
      </w:tr>
      <w:tr>
        <w:tc>
          <w:tcPr>
            <w:tcW w:type="dxa" w:w="2880"/>
          </w:tcPr>
          <w:p>
            <w:r>
              <w:rPr>
                <w:b w:val="0"/>
                <w:i w:val="0"/>
              </w:rPr>
              <w:t>Layer 5: low_stim (2010–14)</w:t>
            </w:r>
          </w:p>
        </w:tc>
        <w:tc>
          <w:tcPr>
            <w:tcW w:type="dxa" w:w="2880"/>
          </w:tcPr>
          <w:p>
            <m:oMath>
              <m:r>
                <m:t>+</m:t>
              </m:r>
              <m:r>
                <m:t>3.36</m:t>
              </m:r>
            </m:oMath>
          </w:p>
        </w:tc>
        <w:tc>
          <w:tcPr>
            <w:tcW w:type="dxa" w:w="2880"/>
          </w:tcPr>
          <w:p>
            <m:oMath>
              <m:r>
                <m:t>1.03</m:t>
              </m:r>
            </m:oMath>
          </w:p>
        </w:tc>
      </w:tr>
      <w:tr>
        <w:tc>
          <w:tcPr>
            <w:tcW w:type="dxa" w:w="2880"/>
          </w:tcPr>
          <w:p>
            <w:r>
              <w:rPr>
                <w:b w:val="0"/>
                <w:i w:val="0"/>
              </w:rPr>
              <w:t>Layer 5: low_disc (2020–21)</w:t>
            </w:r>
          </w:p>
        </w:tc>
        <w:tc>
          <w:tcPr>
            <w:tcW w:type="dxa" w:w="2880"/>
          </w:tcPr>
          <w:p>
            <m:oMath>
              <m:r>
                <m:t>-</m:t>
              </m:r>
              <m:r>
                <m:t>14.28</m:t>
              </m:r>
            </m:oMath>
          </w:p>
        </w:tc>
        <w:tc>
          <w:tcPr>
            <w:tcW w:type="dxa" w:w="2880"/>
          </w:tcPr>
          <w:p>
            <m:oMath>
              <m:r>
                <m:t>-</m:t>
              </m:r>
              <m:r>
                <m:t>2.47</m:t>
              </m:r>
            </m:oMath>
          </w:p>
        </w:tc>
      </w:tr>
      <w:tr>
        <w:tc>
          <w:tcPr>
            <w:tcW w:type="dxa" w:w="2880"/>
          </w:tcPr>
          <w:p>
            <w:r>
              <w:rPr>
                <w:b w:val="0"/>
                <w:i w:val="0"/>
              </w:rPr>
              <w:t>Layer 5: high (2022–25)</w:t>
            </w:r>
          </w:p>
        </w:tc>
        <w:tc>
          <w:tcPr>
            <w:tcW w:type="dxa" w:w="2880"/>
          </w:tcPr>
          <w:p>
            <m:oMath>
              <m:r>
                <m:t>-</m:t>
              </m:r>
              <m:r>
                <m:t>7.97</m:t>
              </m:r>
            </m:oMath>
          </w:p>
        </w:tc>
        <w:tc>
          <w:tcPr>
            <w:tcW w:type="dxa" w:w="2880"/>
          </w:tcPr>
          <w:p>
            <m:oMath>
              <m:r>
                <m:t>-</m:t>
              </m:r>
              <m:r>
                <m:t>1.40</m:t>
              </m:r>
            </m:oMath>
          </w:p>
        </w:tc>
      </w:tr>
      <w:tr>
        <w:tc>
          <w:tcPr>
            <w:tcW w:type="dxa" w:w="2880"/>
          </w:tcPr>
          <w:p>
            <w:r>
              <w:rPr>
                <w:b w:val="0"/>
                <w:i w:val="0"/>
              </w:rPr>
              <w:t>Layer 5: ind_util</w:t>
            </w:r>
          </w:p>
        </w:tc>
        <w:tc>
          <w:tcPr>
            <w:tcW w:type="dxa" w:w="2880"/>
          </w:tcPr>
          <w:p>
            <m:oMath>
              <m:r>
                <m:t>+</m:t>
              </m:r>
              <m:r>
                <m:t>21.59</m:t>
              </m:r>
            </m:oMath>
          </w:p>
        </w:tc>
        <w:tc>
          <w:tcPr>
            <w:tcW w:type="dxa" w:w="2880"/>
          </w:tcPr>
          <w:p>
            <m:oMath>
              <m:r>
                <m:t>1.62</m:t>
              </m:r>
            </m:oMath>
          </w:p>
        </w:tc>
      </w:tr>
    </w:tbl>
    <w:p>
      <w:pPr>
        <w:jc w:val="center"/>
      </w:pPr>
      <w:r>
        <w:drawing>
          <wp:inline xmlns:a="http://schemas.openxmlformats.org/drawingml/2006/main" xmlns:pic="http://schemas.openxmlformats.org/drawingml/2006/picture">
            <wp:extent cx="5577840" cy="2281844"/>
            <wp:docPr id="1" name="Picture 1"/>
            <wp:cNvGraphicFramePr>
              <a:graphicFrameLocks noChangeAspect="1"/>
            </wp:cNvGraphicFramePr>
            <a:graphic>
              <a:graphicData uri="http://schemas.openxmlformats.org/drawingml/2006/picture">
                <pic:pic>
                  <pic:nvPicPr>
                    <pic:cNvPr id="0" name="regime_response_RIG.png"/>
                    <pic:cNvPicPr/>
                  </pic:nvPicPr>
                  <pic:blipFill>
                    <a:blip r:embed="rId9"/>
                    <a:stretch>
                      <a:fillRect/>
                    </a:stretch>
                  </pic:blipFill>
                  <pic:spPr>
                    <a:xfrm>
                      <a:off x="0" y="0"/>
                      <a:ext cx="5577840" cy="2281844"/>
                    </a:xfrm>
                    <a:prstGeom prst="rect"/>
                  </pic:spPr>
                </pic:pic>
              </a:graphicData>
            </a:graphic>
          </wp:inline>
        </w:drawing>
      </w:r>
    </w:p>
    <w:p>
      <w:pPr>
        <w:jc w:val="center"/>
      </w:pPr>
      <w:r>
        <w:rPr>
          <w:b/>
        </w:rPr>
        <w:t xml:space="preserve">Figure 1. </w:t>
      </w:r>
      <w:r>
        <w:rPr>
          <w:b w:val="0"/>
          <w:i w:val="0"/>
        </w:rPr>
        <w:t>Layer 1: RIG capital-expenditure intensity against fleet utilization, by interest-rate regime. At equal utilization the low-rate regime sits systematically above the high-rate regime, and the gap widens toward the top of the cycle (</w:t>
      </w:r>
      <w:r>
        <w:rPr>
          <w:b w:val="0"/>
          <w:i w:val="0"/>
        </w:rPr>
        <w:t>$\text{low</w:t>
      </w:r>
    </w:p>
    <w:p>
      <w:pPr>
        <w:jc w:val="center"/>
      </w:pPr>
      <w:r>
        <w:drawing>
          <wp:inline xmlns:a="http://schemas.openxmlformats.org/drawingml/2006/main" xmlns:pic="http://schemas.openxmlformats.org/drawingml/2006/picture">
            <wp:extent cx="5577840" cy="3486150"/>
            <wp:docPr id="2" name="Picture 2"/>
            <wp:cNvGraphicFramePr>
              <a:graphicFrameLocks noChangeAspect="1"/>
            </wp:cNvGraphicFramePr>
            <a:graphic>
              <a:graphicData uri="http://schemas.openxmlformats.org/drawingml/2006/picture">
                <pic:pic>
                  <pic:nvPicPr>
                    <pic:cNvPr id="0" name="orderbook_vs_indutil.png"/>
                    <pic:cNvPicPr/>
                  </pic:nvPicPr>
                  <pic:blipFill>
                    <a:blip r:embed="rId10"/>
                    <a:stretch>
                      <a:fillRect/>
                    </a:stretch>
                  </pic:blipFill>
                  <pic:spPr>
                    <a:xfrm>
                      <a:off x="0" y="0"/>
                      <a:ext cx="5577840" cy="3486150"/>
                    </a:xfrm>
                    <a:prstGeom prst="rect"/>
                  </pic:spPr>
                </pic:pic>
              </a:graphicData>
            </a:graphic>
          </wp:inline>
        </w:drawing>
      </w:r>
    </w:p>
    <w:p>
      <w:pPr>
        <w:jc w:val="center"/>
      </w:pPr>
      <w:r>
        <w:rPr>
          <w:b/>
        </w:rPr>
        <w:t xml:space="preserve">Figure 2. </w:t>
      </w:r>
      <w:r>
        <w:rPr>
          <w:b w:val="0"/>
          <w:i w:val="0"/>
        </w:rPr>
        <w:t>Layer 5 / Layer 2: annual rigs under construction against industry utilization, by regime. The high-rate window (2022–25) shows the highest utilization yet the lowest newbuild, violating the accelerator.</w:t>
      </w:r>
    </w:p>
    <w:p>
      <w:pPr>
        <w:jc w:val="center"/>
      </w:pPr>
      <w:r>
        <w:drawing>
          <wp:inline xmlns:a="http://schemas.openxmlformats.org/drawingml/2006/main" xmlns:pic="http://schemas.openxmlformats.org/drawingml/2006/picture">
            <wp:extent cx="5577840" cy="3904488"/>
            <wp:docPr id="3" name="Picture 3"/>
            <wp:cNvGraphicFramePr>
              <a:graphicFrameLocks noChangeAspect="1"/>
            </wp:cNvGraphicFramePr>
            <a:graphic>
              <a:graphicData uri="http://schemas.openxmlformats.org/drawingml/2006/picture">
                <pic:pic>
                  <pic:nvPicPr>
                    <pic:cNvPr id="0" name="rig_orderbook_align.png"/>
                    <pic:cNvPicPr/>
                  </pic:nvPicPr>
                  <pic:blipFill>
                    <a:blip r:embed="rId11"/>
                    <a:stretch>
                      <a:fillRect/>
                    </a:stretch>
                  </pic:blipFill>
                  <pic:spPr>
                    <a:xfrm>
                      <a:off x="0" y="0"/>
                      <a:ext cx="5577840" cy="3904488"/>
                    </a:xfrm>
                    <a:prstGeom prst="rect"/>
                  </pic:spPr>
                </pic:pic>
              </a:graphicData>
            </a:graphic>
          </wp:inline>
        </w:drawing>
      </w:r>
    </w:p>
    <w:p>
      <w:pPr>
        <w:jc w:val="center"/>
      </w:pPr>
      <w:r>
        <w:rPr>
          <w:b/>
        </w:rPr>
        <w:t xml:space="preserve">Figure 3. </w:t>
      </w:r>
      <w:r>
        <w:rPr>
          <w:b w:val="0"/>
          <w:i w:val="0"/>
        </w:rPr>
        <w:t xml:space="preserve">RIG single-case alignment: fleet utilization time series with newbuild bars. 2011 low-rate (util </w:t>
      </w:r>
      <m:oMath>
        <m:r>
          <m:t>≈</m:t>
        </m:r>
        <m:r>
          <m:t>56</m:t>
        </m:r>
        <m:r>
          <m:rPr>
            <m:sty m:val="p"/>
          </m:rPr>
          <m:t>%</m:t>
        </m:r>
      </m:oMath>
      <w:r>
        <w:rPr>
          <w:b w:val="0"/>
          <w:i w:val="0"/>
        </w:rPr>
        <w:t xml:space="preserve">, newbuild 13) vs 2024 high-rate (util </w:t>
      </w:r>
      <m:oMath>
        <m:r>
          <m:t>≈</m:t>
        </m:r>
        <m:r>
          <m:t>58</m:t>
        </m:r>
        <m:r>
          <m:rPr>
            <m:sty m:val="p"/>
          </m:rPr>
          <m:t>%</m:t>
        </m:r>
      </m:oMath>
      <w:r>
        <w:rPr>
          <w:b w:val="0"/>
          <w:i w:val="0"/>
        </w:rPr>
        <w:t xml:space="preserve">, newbuild 1) </w:t>
      </w:r>
      <m:oMath>
        <m:r>
          <m:t>≈</m:t>
        </m:r>
      </m:oMath>
      <w:r>
        <w:rPr>
          <w:b w:val="0"/>
          <w:i w:val="0"/>
        </w:rPr>
        <w:t xml:space="preserve"> 13</w:t>
      </w:r>
      <m:oMath>
        <m:r>
          <m:t>×</m:t>
        </m:r>
      </m:oMath>
      <w:r>
        <w:rPr>
          <w:b w:val="0"/>
          <w:i w:val="0"/>
        </w:rPr>
        <w:t xml:space="preserve"> at equal utilization (illustrative).</w:t>
      </w:r>
    </w:p>
    <w:p>
      <w:pPr>
        <w:pStyle w:val="Heading1"/>
      </w:pPr>
      <w:r>
        <w:rPr>
          <w:b w:val="0"/>
          <w:i w:val="0"/>
        </w:rPr>
        <w:t>Discussion: What We Claim and Do Not Claim</w:t>
      </w:r>
    </w:p>
    <w:p>
      <w:r>
        <w:rPr>
          <w:b/>
          <w:i w:val="0"/>
        </w:rPr>
        <w:t>We claim (conditional):</w:t>
      </w:r>
      <w:r>
        <w:rPr>
          <w:b w:val="0"/>
          <w:i w:val="0"/>
        </w:rPr>
        <w:t xml:space="preserve"> under a low-rate regime and absent capital discipline, the offshore drilling industry shows capital over-allocation consistent with Hayek's expectation—stronger investment at equal utilization, fiercest at the cycle peak; after the 2022 exogenous tightening, investment is suppressed by the rate (not by demand). This is consistent with "credit distortion </w:t>
      </w:r>
      <m:oMath>
        <m:r>
          <m:t>→</m:t>
        </m:r>
      </m:oMath>
      <w:r>
        <w:rPr>
          <w:b w:val="0"/>
          <w:i w:val="0"/>
        </w:rPr>
        <w:t xml:space="preserve"> intertemporal capital over-allocation </w:t>
      </w:r>
      <m:oMath>
        <m:r>
          <m:t>→</m:t>
        </m:r>
      </m:oMath>
      <w:r>
        <w:rPr>
          <w:b w:val="0"/>
          <w:i w:val="0"/>
        </w:rPr>
        <w:t xml:space="preserve"> liquidation after credit contraction."</w:t>
      </w:r>
    </w:p>
    <w:p>
      <w:r>
        <w:rPr>
          <w:b/>
          <w:i w:val="0"/>
        </w:rPr>
        <w:t>We do not claim:</w:t>
      </w:r>
    </w:p>
    <w:p>
      <w:r>
        <w:rPr>
          <w:b w:val="0"/>
          <w:i w:val="0"/>
        </w:rPr>
        <w:t>- No causal falsification/verification of Hayek's theory; observational equivalence (investment accelerator) is not fully isolated.</w:t>
      </w:r>
    </w:p>
    <w:p>
      <w:r>
        <w:rPr>
          <w:b w:val="0"/>
          <w:i w:val="0"/>
        </w:rPr>
        <w:t xml:space="preserve">- The capex time-domain phase lead was </w:t>
      </w:r>
      <w:r>
        <w:rPr>
          <w:b w:val="0"/>
          <w:i/>
        </w:rPr>
        <w:t>not detected</w:t>
      </w:r>
      <w:r>
        <w:rPr>
          <w:b w:val="0"/>
          <w:i w:val="0"/>
        </w:rPr>
        <w:t xml:space="preserve"> (falsified, recorded as null); the orderbook is only supplementary and structural-lead evidence, not used to "rescue" the phase hypothesis.</w:t>
      </w:r>
    </w:p>
    <w:p>
      <w:r>
        <w:rPr>
          <w:b w:val="0"/>
          <w:i w:val="0"/>
        </w:rPr>
        <w:t xml:space="preserve">- The cross-firm orderbook contrast is </w:t>
      </w:r>
      <w:r>
        <w:rPr>
          <w:b w:val="0"/>
          <w:i/>
        </w:rPr>
        <w:t>not significant</w:t>
      </w:r>
      <w:r>
        <w:rPr>
          <w:b w:val="0"/>
          <w:i w:val="0"/>
        </w:rPr>
        <w:t xml:space="preserve"> after conditioning, so it does not stand alone.</w:t>
      </w:r>
    </w:p>
    <w:p>
      <w:r>
        <w:rPr>
          <w:b w:val="0"/>
          <w:i w:val="0"/>
        </w:rPr>
        <w:t xml:space="preserve">- "Update-intensity gap at equal utilization" is a </w:t>
      </w:r>
      <w:r>
        <w:rPr>
          <w:b w:val="0"/>
          <w:i/>
        </w:rPr>
        <w:t>response-function shift (cross-sectional phase analogy)</w:t>
      </w:r>
      <w:r>
        <w:rPr>
          <w:b w:val="0"/>
          <w:i w:val="0"/>
        </w:rPr>
        <w:t>, not a time-domain phase lead.</w:t>
      </w:r>
    </w:p>
    <w:p>
      <w:pPr>
        <w:pStyle w:val="Heading1"/>
      </w:pPr>
      <w:r>
        <w:rPr>
          <w:b w:val="0"/>
          <w:i w:val="0"/>
        </w:rPr>
        <w:t>Limitations</w:t>
      </w:r>
    </w:p>
    <w:p>
      <w:r>
        <w:rPr>
          <w:b w:val="0"/>
          <w:i w:val="0"/>
        </w:rPr>
        <w:t xml:space="preserve">1. </w:t>
      </w:r>
      <w:r>
        <w:rPr>
          <w:b/>
          <w:i w:val="0"/>
        </w:rPr>
        <w:t>Small sample, limited cross-window coverage</w:t>
      </w:r>
      <w:r>
        <w:rPr>
          <w:b w:val="0"/>
          <w:i w:val="0"/>
        </w:rPr>
        <w:t xml:space="preserve">: only RIG has both a long capex and utilization series; NE has only 4 years, VAL has capex but no utilization, SDRL changed CIK through bankruptcy. Layer 1 interaction </w:t>
      </w:r>
      <m:oMath>
        <m:r>
          <m:rPr>
            <m:sty m:val="i"/>
          </m:rPr>
          <m:t>N</m:t>
        </m:r>
      </m:oMath>
      <w:r>
        <w:rPr>
          <w:b w:val="0"/>
          <w:i w:val="0"/>
        </w:rPr>
        <w:t xml:space="preserve"> is small.</w:t>
      </w:r>
    </w:p>
    <w:p>
      <w:r>
        <w:rPr>
          <w:b w:val="0"/>
          <w:i w:val="0"/>
        </w:rPr>
        <w:t xml:space="preserve">2. </w:t>
      </w:r>
      <w:r>
        <w:rPr>
          <w:b/>
          <w:i w:val="0"/>
        </w:rPr>
        <w:t>No instrumental variable, no strict IV quasi-experiment</w:t>
      </w:r>
      <w:r>
        <w:rPr>
          <w:b w:val="0"/>
          <w:i w:val="0"/>
        </w:rPr>
        <w:t>: the 2022 tightening is the strongest exogenous card but co-moves with OAS / capital freeze and needs disentangling; identification is "conditional corroboration," not "identified."</w:t>
      </w:r>
    </w:p>
    <w:p>
      <w:r>
        <w:rPr>
          <w:b w:val="0"/>
          <w:i w:val="0"/>
        </w:rPr>
        <w:t xml:space="preserve">3. </w:t>
      </w:r>
      <w:r>
        <w:rPr>
          <w:b/>
          <w:i w:val="0"/>
        </w:rPr>
        <w:t>Observational equivalence not fully removed</w:t>
      </w:r>
      <w:r>
        <w:rPr>
          <w:b w:val="0"/>
          <w:i w:val="0"/>
        </w:rPr>
        <w:t>: Layer 1 same-firm response controls the firm's own utilization, but cross-period "expectation / capital discipline" may still confound; Layer 5 conditioning shows accelerator and discipline are indeed confounders.</w:t>
      </w:r>
    </w:p>
    <w:p>
      <w:r>
        <w:rPr>
          <w:b w:val="0"/>
          <w:i w:val="0"/>
        </w:rPr>
        <w:t xml:space="preserve">4. </w:t>
      </w:r>
      <w:r>
        <w:rPr>
          <w:b/>
          <w:i w:val="0"/>
        </w:rPr>
        <w:t>Oil price not strictly isolated in frequency domain</w:t>
      </w:r>
      <w:r>
        <w:rPr>
          <w:b w:val="0"/>
          <w:i w:val="0"/>
        </w:rPr>
        <w:t xml:space="preserve">: early partial coherence (ESV </w:t>
      </w:r>
      <m:oMath>
        <m:r>
          <m:rPr>
            <m:sty m:val="i"/>
          </m:rPr>
          <m:t>n</m:t>
        </m:r>
        <m:r>
          <m:t>=</m:t>
        </m:r>
        <m:r>
          <m:t>16</m:t>
        </m:r>
      </m:oMath>
      <w:r>
        <w:rPr>
          <w:b w:val="0"/>
          <w:i w:val="0"/>
        </w:rPr>
        <w:t>) shows WTI</w:t>
      </w:r>
      <m:oMath>
        <m:r>
          <m:t>↔</m:t>
        </m:r>
      </m:oMath>
      <w:r>
        <w:rPr>
          <w:b w:val="0"/>
          <w:i w:val="0"/>
        </w:rPr>
        <w:t xml:space="preserve">util coherence 0.588 </w:t>
      </w:r>
      <m:oMath>
        <m:r>
          <m:t>&gt;</m:t>
        </m:r>
      </m:oMath>
      <w:r>
        <w:rPr>
          <w:b w:val="0"/>
          <w:i w:val="0"/>
        </w:rPr>
        <w:t xml:space="preserve"> newbuild</w:t>
      </w:r>
      <m:oMath>
        <m:r>
          <m:t>↔</m:t>
        </m:r>
      </m:oMath>
      <w:r>
        <w:rPr>
          <w:b w:val="0"/>
          <w:i w:val="0"/>
        </w:rPr>
        <w:t>util 0.426; frequency domain did not cleanly isolate oil price (weak correlation in normal times, strong in crises).</w:t>
      </w:r>
    </w:p>
    <w:p>
      <w:r>
        <w:rPr>
          <w:b w:val="0"/>
          <w:i w:val="0"/>
        </w:rPr>
        <w:t xml:space="preserve">5. </w:t>
      </w:r>
      <w:r>
        <w:rPr>
          <w:b/>
          <w:i w:val="0"/>
        </w:rPr>
        <w:t>Layer 2 downgraded after conditioning</w:t>
      </w:r>
      <w:r>
        <w:rPr>
          <w:b w:val="0"/>
          <w:i w:val="0"/>
        </w:rPr>
        <w:t>: the raw cross-firm contrast contains accelerator + discipline confounding; the main-case center of gravity has returned to Layer 1 / Layer 4 / Layer 3; cross-firm mean口径 unified to high+med confidence (consistent with Layer 5), giving 21.8 / 15.9 / 15.2 when low-confidence is included.</w:t>
      </w:r>
    </w:p>
    <w:p>
      <w:r>
        <w:rPr>
          <w:b w:val="0"/>
          <w:i w:val="0"/>
        </w:rPr>
        <w:t xml:space="preserve">6. </w:t>
      </w:r>
      <w:r>
        <w:rPr>
          <w:b/>
          <w:i w:val="0"/>
        </w:rPr>
        <w:t>Framing double-edged</w:t>
      </w:r>
      <w:r>
        <w:rPr>
          <w:b w:val="0"/>
          <w:i w:val="0"/>
        </w:rPr>
        <w:t>: a title invoking "Hayek corroboration" is easily read as ideology by U.S. top journals; commercially rewritten as "capital misallocation / duration mismatch" it is no longer Hayek. This paper is positioned as an empirical-corroboration-type paper for mid-to-upper-tier field / specialist journals.</w:t>
      </w:r>
    </w:p>
    <w:p>
      <w:r>
        <w:rPr>
          <w:b w:val="0"/>
          <w:i w:val="0"/>
        </w:rPr>
        <w:t xml:space="preserve">7. </w:t>
      </w:r>
      <w:r>
        <w:rPr>
          <w:b/>
          <w:i w:val="0"/>
        </w:rPr>
        <w:t>Layer 1 agent-variation confounding (disclosed):</w:t>
      </w:r>
      <w:r>
        <w:rPr>
          <w:b w:val="0"/>
          <w:i w:val="0"/>
        </w:rPr>
        <w:t xml:space="preserve"> the two epochs (2010–14 vs 2022–25) are separated by 8 years and straddle RIG's 2017 Chapter 11 restructuring; the so-called "same firm" is in fact a pre- vs post-restructuring agent comparison; the 2022–25 low newbuild may partly reflect post-restructuring endogenous capital discipline, not pure rate effect. This is the natural ceiling of observational research, which determines our positioning as "empirical corroboration" rather than causal identification, and also our decision not to target top journals.</w:t>
      </w:r>
    </w:p>
    <w:p>
      <w:pPr>
        <w:pStyle w:val="Heading1"/>
      </w:pPr>
      <w:r>
        <w:rPr>
          <w:b w:val="0"/>
          <w:i w:val="0"/>
        </w:rPr>
        <w:t>Conclusion</w:t>
      </w:r>
    </w:p>
    <w:p>
      <w:r>
        <w:rPr>
          <w:b w:val="0"/>
          <w:i w:val="0"/>
        </w:rPr>
        <w:t xml:space="preserve">The offshore drilling market provides a </w:t>
      </w:r>
      <w:r>
        <w:rPr>
          <w:b/>
          <w:i w:val="0"/>
        </w:rPr>
        <w:t>frequency-domain + financial-statement + quasi-experiment triangular corroboration</w:t>
      </w:r>
      <w:r>
        <w:rPr>
          <w:b w:val="0"/>
          <w:i w:val="0"/>
        </w:rPr>
        <w:t xml:space="preserve"> of Hayek's interest-rate-distortion proposition: under low-rate / cheap-credit periods capex over-allocation is about 4</w:t>
      </w:r>
      <m:oMath>
        <m:r>
          <m:t>×</m:t>
        </m:r>
      </m:oMath>
      <w:r>
        <w:rPr>
          <w:b w:val="0"/>
          <w:i w:val="0"/>
        </w:rPr>
        <w:t xml:space="preserve">, investment response is stronger at equal utilization and fiercest at the peak, and after the exogenous tightening investment is suppressed—consistent with "credit distortion </w:t>
      </w:r>
      <m:oMath>
        <m:r>
          <m:t>→</m:t>
        </m:r>
      </m:oMath>
      <w:r>
        <w:rPr>
          <w:b w:val="0"/>
          <w:i w:val="0"/>
        </w:rPr>
        <w:t xml:space="preserve"> capital over-allocation </w:t>
      </w:r>
      <m:oMath>
        <m:r>
          <m:t>→</m:t>
        </m:r>
      </m:oMath>
      <w:r>
        <w:rPr>
          <w:b w:val="0"/>
          <w:i w:val="0"/>
        </w:rPr>
        <w:t xml:space="preserve"> liquidation." But this study is </w:t>
      </w:r>
      <w:r>
        <w:rPr>
          <w:b/>
          <w:i w:val="0"/>
        </w:rPr>
        <w:t>conditional corroboration, not causal proof</w:t>
      </w:r>
      <w:r>
        <w:rPr>
          <w:b w:val="0"/>
          <w:i w:val="0"/>
        </w:rPr>
        <w:t>; identification strength, sample width, and the observational-equivalence problem determine that it fits field journals rather than top journals. The two contributions (same-node dual-indicator + oil-price micro-rigidity lemma) let the ABCT claim be cleanly identified and discussed, and are the cornerstones of this paper.</w:t>
      </w:r>
    </w:p>
    <w:p>
      <w:pPr>
        <w:pStyle w:val="Heading1"/>
      </w:pPr>
      <w:r>
        <w:rPr>
          <w:b w:val="0"/>
          <w:i w:val="0"/>
        </w:rPr>
        <w:t>Supplementary Material</w:t>
      </w:r>
    </w:p>
    <w:p>
      <w:r>
        <w:rPr>
          <w:b w:val="0"/>
          <w:i w:val="0"/>
        </w:rPr>
        <w:t xml:space="preserve">The frequency-domain phase analysis (wavelet coherence, 2005–2025) that originally motivated this study is retained as supplementary material. Its capex time-domain phase-lead result was </w:t>
      </w:r>
      <w:r>
        <w:rPr>
          <w:b w:val="0"/>
          <w:i/>
        </w:rPr>
        <w:t>falsified</w:t>
      </w:r>
      <w:r>
        <w:rPr>
          <w:b w:val="0"/>
          <w:i w:val="0"/>
        </w:rPr>
        <w:t xml:space="preserve"> (approximately </w:t>
      </w:r>
      <m:oMath>
        <m:r>
          <m:t>-</m:t>
        </m:r>
        <m:sSup>
          <m:e>
            <m:r>
              <m:t>15</m:t>
            </m:r>
          </m:e>
          <m:sup>
            <m:r>
              <m:t>∘</m:t>
            </m:r>
          </m:sup>
        </m:sSup>
      </m:oMath>
      <w:r>
        <w:rPr>
          <w:b w:val="0"/>
          <w:i w:val="0"/>
        </w:rPr>
        <w:t xml:space="preserve"> with no rotation, a signature of the investment accelerator) and is recorded as a null result; it is provided for transparency and does not support the main case. The five corresponding figures (cwt_phase_*.png) are available in the data package.</w:t>
      </w:r>
    </w:p>
    <w:p>
      <w:r>
        <w:br w:type="page"/>
      </w:r>
    </w:p>
    <w:p>
      <w:pPr>
        <w:pStyle w:val="Heading1"/>
      </w:pPr>
      <w:r>
        <w:t>References</w:t>
      </w:r>
    </w:p>
    <w:p>
      <w:pPr>
        <w:ind w:left="576" w:hanging="576"/>
      </w:pPr>
      <w:r>
        <w:t>Bijmsans, P. and Mougeot, M. (2009). The Austrian business cycle theory: A note on the accelerations principle. Journal of Macroeconomics.</w:t>
      </w:r>
    </w:p>
    <w:p>
      <w:pPr>
        <w:ind w:left="576" w:hanging="576"/>
      </w:pPr>
      <w:r>
        <w:t>Caballero, R. J., Farhi, E., and Gourinchas, P. (2008). An Equilibrium Model of "Global Imbalances" and Low Interest Rates. American Economic Review, 98(1), 358–393.</w:t>
      </w:r>
    </w:p>
    <w:p>
      <w:pPr>
        <w:ind w:left="576" w:hanging="576"/>
      </w:pPr>
      <w:r>
        <w:t>Carilli, A. M. and Dempster, G. M. (2008). The Austrian business cycle theory: A unifying framework. Review of Austrian Economics.</w:t>
      </w:r>
    </w:p>
    <w:p>
      <w:pPr>
        <w:ind w:left="576" w:hanging="576"/>
      </w:pPr>
      <w:r>
        <w:t>Hamilton, J. D. (2009). Causes and consequences of the oil shock of 2007--08. Brookings Papers on Economic Activity, 2009(1), 215–261.</w:t>
      </w:r>
    </w:p>
    <w:p>
      <w:pPr>
        <w:ind w:left="576" w:hanging="576"/>
      </w:pPr>
      <w:r>
        <w:t>Hayek, F. A. (1935). Prices and Production. Routledge.</w:t>
      </w:r>
    </w:p>
    <w:p>
      <w:pPr>
        <w:ind w:left="576" w:hanging="576"/>
      </w:pPr>
      <w:r>
        <w:t>Holston, K., Laubach, T., and Williams, J. C. (2017). Measuring the natural rate of interest: International trends and determinants. Journal of International Economics.</w:t>
      </w:r>
    </w:p>
    <w:p>
      <w:pPr>
        <w:ind w:left="576" w:hanging="576"/>
      </w:pPr>
      <w:r>
        <w:t>Hughes, J. E., Knittel, C. R., and Sperling, D. (2008). Evidence of a shift in the short-run price elasticity of gasoline demand. The Energy Journal, 29(1), 113–134.</w:t>
      </w:r>
    </w:p>
    <w:p>
      <w:pPr>
        <w:ind w:left="576" w:hanging="576"/>
      </w:pPr>
      <w:r>
        <w:t>Keeler, J. P. (2001). Empirical evidence on the Austrian business cycle theory. Review of Austrian Economics.</w:t>
      </w:r>
    </w:p>
    <w:p>
      <w:pPr>
        <w:ind w:left="576" w:hanging="576"/>
      </w:pPr>
      <w:r>
        <w:t>Kilian, L. (2009). Not all oil price shocks are alike: Disentangling demand and supply shocks in the crude oil market. American Economic Review, 99(3), 1053–1069.</w:t>
      </w:r>
    </w:p>
    <w:p>
      <w:pPr>
        <w:ind w:left="576" w:hanging="576"/>
      </w:pPr>
      <w:r>
        <w:t>Laubach, T. and Williams, J. C. (2003). Measuring the natural rate of interest. Review of Economics and Statistics, 85(4), 1063–1070.</w:t>
      </w:r>
    </w:p>
    <w:p>
      <w:pPr>
        <w:ind w:left="576" w:hanging="576"/>
      </w:pPr>
      <w:r>
        <w:t>Luther, W. J. and McElyea, J. (2014). Empirical evidence on the Austrian business cycle theory. Journal of Economics and Finance.</w:t>
      </w:r>
    </w:p>
    <w:p>
      <w:pPr>
        <w:ind w:left="576" w:hanging="576"/>
      </w:pPr>
      <w:r>
        <w:t>Minsky, H. P. (1986). Stabilizing an Unstable Economy. McGraw-Hill.</w:t>
      </w:r>
    </w:p>
    <w:p>
      <w:pPr>
        <w:ind w:left="576" w:hanging="576"/>
      </w:pPr>
      <w:r>
        <w:t>Mulligan, R. F. (2025). Industrial production over the business cycle 1919--2022: R/S and wavelet Hurst analysis of multifractality and Austrian business cycle theory. Review of Austrian Economics.</w:t>
      </w:r>
    </w:p>
    <w:p>
      <w:pPr>
        <w:ind w:left="576" w:hanging="576"/>
      </w:pPr>
      <w:r>
        <w:t>Young, A. T. (2005). Reallocating labor to redistribute wealth: Comment. Review of Austrian Economics.</w:t>
      </w:r>
    </w:p>
    <w:p>
      <w:pPr>
        <w:ind w:left="576" w:hanging="576"/>
      </w:pPr>
      <w:r>
        <w:t>Young, A. T. (2012). The time structure of production in the US, 1959--2009. Review of Austrian Economics.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image" Target="media/image2.png"/><Relationship Id="rId1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