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利率体制、信用扭曲与资本错配</w:t>
      </w:r>
    </w:p>
    <w:p>
      <w:pPr>
        <w:pStyle w:val="Heading2"/>
      </w:pPr>
      <w:r>
        <w:t>——来自海上钻井平台市场的证据（2005–2025）</w:t>
      </w:r>
    </w:p>
    <w:p>
      <w:pPr>
        <w:pStyle w:val="Quote"/>
      </w:pPr>
      <w:r>
        <w:rPr>
          <w:b/>
        </w:rPr>
        <w:t>评审草稿（draft for internal review）</w:t>
      </w:r>
      <w:r>
        <w:t xml:space="preserve"> ｜ 非投稿终稿</w:t>
        <w:br/>
        <w:t>作者：terreck（康立学）｜ 分析支持：君集（junji）</w:t>
        <w:br/>
        <w:t xml:space="preserve">配套：本目录 </w:t>
      </w:r>
      <w:r>
        <w:rPr>
          <w:rFonts w:ascii="Consolas" w:hAnsi="Consolas"/>
        </w:rPr>
        <w:t>数据/</w:t>
      </w:r>
      <w:r>
        <w:t xml:space="preserve"> </w:t>
      </w:r>
      <w:r>
        <w:rPr>
          <w:rFonts w:ascii="Consolas" w:hAnsi="Consolas"/>
        </w:rPr>
        <w:t>脚本/</w:t>
      </w:r>
      <w:r>
        <w:t xml:space="preserve"> </w:t>
      </w:r>
      <w:r>
        <w:rPr>
          <w:rFonts w:ascii="Consolas" w:hAnsi="Consolas"/>
        </w:rPr>
        <w:t>图表/</w:t>
      </w:r>
      <w:r>
        <w:t xml:space="preserve"> </w:t>
      </w:r>
      <w:r>
        <w:rPr>
          <w:rFonts w:ascii="Consolas" w:hAnsi="Consolas"/>
        </w:rPr>
        <w:t>文献/</w:t>
      </w:r>
      <w:r>
        <w:t xml:space="preserve"> </w:t>
      </w:r>
      <w:r>
        <w:rPr>
          <w:rFonts w:ascii="Consolas" w:hAnsi="Consolas"/>
        </w:rPr>
        <w:t>支撑材料/</w:t>
      </w:r>
      <w:r>
        <w:t xml:space="preserve"> </w:t>
      </w:r>
      <w:r>
        <w:rPr>
          <w:rFonts w:ascii="Consolas" w:hAnsi="Consolas"/>
        </w:rPr>
        <w:t>审查说明/</w:t>
      </w:r>
      <w:r>
        <w:br/>
        <w:t>⚠️ 本文所有结论均为</w:t>
      </w:r>
      <w:r>
        <w:rPr>
          <w:b/>
        </w:rPr>
        <w:t>条件式佐证、非因果证明</w:t>
      </w:r>
      <w:r>
        <w:t xml:space="preserve">；识别强度有限，详见第 7 节与 </w:t>
      </w:r>
      <w:r>
        <w:rPr>
          <w:rFonts w:ascii="Consolas" w:hAnsi="Consolas"/>
        </w:rPr>
        <w:t>审查说明/</w:t>
      </w:r>
      <w:r>
        <w:t>。</w:t>
      </w:r>
    </w:p>
    <w:p>
      <w:r>
        <w:t>------------------------------</w:t>
      </w:r>
    </w:p>
    <w:p>
      <w:pPr>
        <w:pStyle w:val="Heading3"/>
      </w:pPr>
      <w:r>
        <w:t>English Title &amp; Abstract</w:t>
      </w:r>
    </w:p>
    <w:p>
      <w:r>
        <w:rPr>
          <w:b/>
        </w:rPr>
        <w:t>Interest-Rate Regimes, Credit Distortion, and Capital Misallocation: Evidence from the Offshore Drilling Rig Market, 2005–2025</w:t>
      </w:r>
    </w:p>
    <w:p>
      <w:r>
        <w:rPr>
          <w:i/>
        </w:rPr>
        <w:t>Abstract.</w:t>
      </w:r>
      <w:r>
        <w:t xml:space="preserve"> We test the Austrian business-cycle claim that artificially low interest rates distort the intertemporal structure of capital, using the offshore drilling rig market—a sector with heterogeneous, long-lived assets and a physical 3–5 year construction lag. Exploiting the contrast between the 2010–2014 zero-rate/QE window and the 2022–2025 exogenous tightening, and using a same-firm dual-indicator design (utilization vs. update intensity) that excludes supply-chain transmission, we find: (i) at equal fleet utilization, low-rate-period capital expenditure is systematically higher and the premium widens toward the top of the cycle (interaction β=+0.0037, t=9.04; +0.0038, t=10.10 with inflation-expectation control); (ii) the low-rate window shows 4.3× the capex of the high-rate window; (iii) the 2022 tightening—exogenous to offshore demand, yet coinciding with high oil prices, dayrates and non-low utilization but subdued newbuild—violates the accelerator and is consistent with rate-suppressed investment. A within-firm industry-utilization conditioning test shows the cross-firm orderbook contrast is partly confounded by the accelerator and capital-discipline moderators; we therefore present the credit-channel claim as conditional, not proven. Our two contributions are the same-node dual-indicator identification and the oil-price micro-rigidity lemma used as an identification anchor.</w:t>
      </w:r>
    </w:p>
    <w:p>
      <w:r>
        <w:t>------------------------------</w:t>
      </w:r>
    </w:p>
    <w:p>
      <w:pPr>
        <w:pStyle w:val="Heading3"/>
      </w:pPr>
      <w:r>
        <w:t>摘要（中文）</w:t>
      </w:r>
    </w:p>
    <w:p>
      <w:r>
        <w:t>本文以海上钻井平台市场（2005–2025）检验奥地利商业周期理论的"利率扭曲→资本结构错配"命题。该行业资产高度异质、寿命长、且新平台建设存在 3–5 年物理工期，是观测利率—资本久期关系的天然实验室。利用 2010–2014 零利率/QE 低利率窗与 2022–2025 外生加息高利率窗的对比，并采用"同节点双指标"（同一家公司利用率 vs 更新强度对话，排除产业链传导）识别策略，我们发现：(i) 在</w:t>
      </w:r>
      <w:r>
        <w:rPr>
          <w:b/>
        </w:rPr>
        <w:t>相同舰队利用率</w:t>
      </w:r>
      <w:r>
        <w:t xml:space="preserve">下，低利率期资本支出系统性更高，且溢价随利用率升高而放大（交互项 β=+0.0037, t=9.04；控通胀预期后 +0.0038, t=10.10）；(ii) 低利率窗 capex 为高利率窗的 </w:t>
      </w:r>
      <w:r>
        <w:rPr>
          <w:b/>
        </w:rPr>
        <w:t>4.3 倍</w:t>
      </w:r>
      <w:r>
        <w:t>；(iii) 2022 年加息外生于海上钻井需求、却伴随高油价/高日费/不低利用率而新建低迷，</w:t>
      </w:r>
      <w:r>
        <w:rPr>
          <w:b/>
        </w:rPr>
        <w:t>违反投资加速器</w:t>
      </w:r>
      <w:r>
        <w:t>，与利率抑制型投资一致。进一步以行业利用率共同因子做条件化检验，显示跨公司订单簿对比部分受加速器与资本纪律调节混淆，故我们把信用通道主张表述为</w:t>
      </w:r>
      <w:r>
        <w:rPr>
          <w:b/>
        </w:rPr>
        <w:t>条件式、非证明</w:t>
      </w:r>
      <w:r>
        <w:t>。本文两项贡献为：同节点双指标识别策略，以及作为识别锚的"油价微观刚性论"。</w:t>
      </w:r>
    </w:p>
    <w:p>
      <w:r>
        <w:t>------------------------------</w:t>
      </w:r>
    </w:p>
    <w:p>
      <w:pPr>
        <w:pStyle w:val="Heading2"/>
      </w:pPr>
      <w:r>
        <w:t>1. 引言</w:t>
      </w:r>
    </w:p>
    <w:p>
      <w:r>
        <w:t>哈耶克（Hayek, 1931/1935）的奥地利商业周期理论（ABCT）主张：当中央银行把市场利率压低于"自然利率"时，会错误地拉长久期、诱发跨期资本超配（malinvestment），信用收缩后这些错配资产被迫清算。这一命题百年未决的核心难题是</w:t>
      </w:r>
      <w:r>
        <w:rPr>
          <w:b/>
        </w:rPr>
        <w:t>观察等价性</w:t>
      </w:r>
      <w:r>
        <w:t>（observational equivalence）：标准投资加速器 + 调整成本模型同样预测上游投资领先下游并具时滞，哈耶克叙事并非唯一生成该模式的机制（Carilli &amp; Dempster, 2008; Keeler, 2001）。</w:t>
      </w:r>
    </w:p>
    <w:p>
      <w:r>
        <w:t>本文不试图"证明"哈耶克，而是在一个具备三项结构特征的行业——（a）需求对利率短期不敏感、（b）供需高度刚性、（c）生产周期有不可压缩的物理极限——用</w:t>
      </w:r>
      <w:r>
        <w:rPr>
          <w:b/>
        </w:rPr>
        <w:t>低/高利率体制对比 + 同节点双指标</w:t>
      </w:r>
      <w:r>
        <w:t>做一项</w:t>
      </w:r>
      <w:r>
        <w:rPr>
          <w:b/>
        </w:rPr>
        <w:t>频域与财报双维的实证佐证</w:t>
      </w:r>
      <w:r>
        <w:t>，并诚实标注其边界。</w:t>
      </w:r>
    </w:p>
    <w:p>
      <w:r>
        <w:t>两项理论贡献：</w:t>
      </w:r>
    </w:p>
    <w:p>
      <w:pPr>
        <w:pStyle w:val="ListNumber"/>
      </w:pPr>
      <w:r>
        <w:rPr>
          <w:b/>
        </w:rPr>
        <w:t>同节点双指标</w:t>
      </w:r>
      <w:r>
        <w:t>：在同一家公司内部，让"利用率（需求侧信号）"与"更新率/新建（投资侧响应）"对话。这排除了产业链上下游传导的干扰，使"利率扭曲→资本错配"被钉在单个主体内部，而非混同于行业层面的供需波动。</w:t>
      </w:r>
    </w:p>
    <w:p>
      <w:pPr>
        <w:pStyle w:val="ListNumber"/>
      </w:pPr>
      <w:r>
        <w:rPr>
          <w:b/>
        </w:rPr>
        <w:t>油价微观刚性论</w:t>
      </w:r>
      <w:r>
        <w:t>：石油供需短期皆高度刚性（Hamilton, 2009; Hughes et al., 2008; Kilian, 2009），现货油价主要由需求/预防性冲击驱动、而非产能对价格弹性响应。故油价是失衡</w:t>
      </w:r>
      <w:r>
        <w:rPr>
          <w:b/>
        </w:rPr>
        <w:t>信号</w:t>
      </w:r>
      <w:r>
        <w:t>而非利用率的激励源；在体制对比中剔除油价后，利用率—更新率之差可更干净地归因于信用通道。</w:t>
      </w:r>
    </w:p>
    <w:p>
      <w:pPr>
        <w:pStyle w:val="Heading2"/>
      </w:pPr>
      <w:r>
        <w:t>2. 文献与理论定位</w:t>
      </w:r>
    </w:p>
    <w:p>
      <w:r>
        <w:rPr>
          <w:b/>
        </w:rPr>
        <w:t>实证 ABCT 是一个已存在的细分领域，不是空白。</w:t>
      </w:r>
      <w:r>
        <w:t xml:space="preserve"> Laubach–Williams (2003)、Holston–Laubach–Williams (2017) 常规估计自然利率；Mulligan (2025, </w:t>
      </w:r>
      <w:r>
        <w:rPr>
          <w:i/>
        </w:rPr>
        <w:t>Review of Austrian Economics</w:t>
      </w:r>
      <w:r>
        <w:t>) 已用 wavelet Hurst 检验并"支持"奥地利商业周期模型；Luther &amp; McElyea (2014)、Bijmsans &amp; Mougeot (2009)、Young (2005, 2012) 等均有发表。我们的增量在于"刚性强、物理工期长、同节点双指标 + 油价剔除 + 体制/准实验"这一具体组合，而非开荒。</w:t>
      </w:r>
    </w:p>
    <w:p>
      <w:r>
        <w:rPr>
          <w:b/>
        </w:rPr>
        <w:t>油价微观刚性（先验锚）</w:t>
      </w:r>
      <w:r>
        <w:t>：Hamilton (2009) 证明 2007–08 油价飙升由"强需求遭遇全球产量停滞"驱动、供给未弹性扩张；Hughes, Knittel &amp; Sperling (2008) 测出美国汽油短期价格弹性由 1975–1980 的 −0.21~−0.34 变为 2001–2006 的 −0.034~−0.077（显著更缺弹性）；Kilian (2009) 用 SVAR 把油价拆为供给/全球总需求/石油特定（预防性）三类冲击，证明价格可由特定需求冲击单独推高而产量短期不动（短期供给曲线垂直）。三人对"油价短期低弹性"已从成因、需求弹性、冲击结构三角度坐实，我们的油价微观刚性论只是收束其结论为可操作假设，</w:t>
      </w:r>
      <w:r>
        <w:rPr>
          <w:b/>
        </w:rPr>
        <w:t>事实归他们、框架归我们</w:t>
      </w:r>
      <w:r>
        <w:t>。</w:t>
      </w:r>
    </w:p>
    <w:p>
      <w:r>
        <w:rPr>
          <w:b/>
        </w:rPr>
        <w:t>观察等价性（我们直面而非回避）</w:t>
      </w:r>
      <w:r>
        <w:t>：加速器模型同样生成"投资随需求上升、且领先产能部署"的结构。本文不声称在时域层面破解它，而是用 (a) 同公司条件响应（控住该公司自身利用率）、(b) 2022 外生加息准实验、以及 (c) 订单簿结构领先，把信用通道主张限定在可被这些设计支持的范围内。</w:t>
      </w:r>
    </w:p>
    <w:p>
      <w:pPr>
        <w:pStyle w:val="Heading2"/>
      </w:pPr>
      <w:r>
        <w:t>3. 数据与变量</w:t>
      </w:r>
    </w:p>
    <w:p>
      <w:r>
        <w:rPr>
          <w:b/>
        </w:rPr>
        <w:t>公司样本</w:t>
      </w:r>
      <w:r>
        <w:t>：海上钻井承包商 10 家——RIG (Transocean)、NE (Noble)、VAL (Valaris)、SDRL (Seadrill)、ESV (EnscoValaris)、ATW (Atwood)、DO (Diamond Offshore)、PGN (Paragon)、RDC (Rowan)、HERC (Hercules)。数据来自 SEC EDGAR 的 10-K/10-Q/20-F（外国私人发行人为 20-F）与官网 Fleet Status 披露。</w:t>
      </w:r>
    </w:p>
    <w:p>
      <w:r>
        <w:rPr>
          <w:b/>
        </w:rPr>
        <w:t>派生面板</w:t>
      </w:r>
      <w:r>
        <w:t xml:space="preserve">（见 </w:t>
      </w:r>
      <w:r>
        <w:rPr>
          <w:rFonts w:ascii="Consolas" w:hAnsi="Consolas"/>
        </w:rPr>
        <w:t>数据/</w:t>
      </w:r>
      <w:r>
        <w:t xml:space="preserve">，均由 </w:t>
      </w:r>
      <w:r>
        <w:rPr>
          <w:rFonts w:ascii="Consolas" w:hAnsi="Consolas"/>
        </w:rPr>
        <w:t>脚本/</w:t>
      </w:r>
      <w:r>
        <w:t xml:space="preserve"> 可复现）：</w:t>
      </w:r>
    </w:p>
    <w:p>
      <w:pPr>
        <w:pStyle w:val="ListBullet"/>
      </w:pPr>
      <w:r>
        <w:rPr>
          <w:rFonts w:ascii="Consolas" w:hAnsi="Consolas"/>
        </w:rPr>
        <w:t>financial_panel.csv</w:t>
      </w:r>
      <w:r>
        <w:t>：SEC XBRL 抽 capex (</w:t>
      </w:r>
      <w:r>
        <w:rPr>
          <w:rFonts w:ascii="Consolas" w:hAnsi="Consolas"/>
        </w:rPr>
        <w:t>PaymentsToAcquirePropertyPlantAndEquipment</w:t>
      </w:r>
      <w:r>
        <w:t>)、OCF、净 PPE、净债务、EBITDA（RIG/NE/VAL/SDRL）。</w:t>
      </w:r>
    </w:p>
    <w:p>
      <w:pPr>
        <w:pStyle w:val="ListBullet"/>
      </w:pPr>
      <w:r>
        <w:rPr>
          <w:rFonts w:ascii="Consolas" w:hAnsi="Consolas"/>
        </w:rPr>
        <w:t>rig_util_quarterly.csv</w:t>
      </w:r>
      <w:r>
        <w:t>：RIG 季度</w:t>
      </w:r>
      <w:r>
        <w:rPr>
          <w:b/>
        </w:rPr>
        <w:t>总舰队平均利用率(%)</w:t>
      </w:r>
      <w:r>
        <w:t xml:space="preserve">（注：该列在抽取脚本中误标为 </w:t>
      </w:r>
      <w:r>
        <w:rPr>
          <w:rFonts w:ascii="Consolas" w:hAnsi="Consolas"/>
        </w:rPr>
        <w:t>total_fleet</w:t>
      </w:r>
      <w:r>
        <w:t xml:space="preserve">，数值实为利用率%，见 </w:t>
      </w:r>
      <w:r>
        <w:rPr>
          <w:rFonts w:ascii="Consolas" w:hAnsi="Consolas"/>
        </w:rPr>
        <w:t>数据/数据字典.md</w:t>
      </w:r>
      <w:r>
        <w:t xml:space="preserve"> 说明），约 40 个季度观测，2017–18 破产重整期缺口。</w:t>
      </w:r>
    </w:p>
    <w:p>
      <w:pPr>
        <w:pStyle w:val="ListBullet"/>
      </w:pPr>
      <w:r>
        <w:rPr>
          <w:rFonts w:ascii="Consolas" w:hAnsi="Consolas"/>
        </w:rPr>
        <w:t>orderbook_merged.csv</w:t>
      </w:r>
      <w:r>
        <w:t>：跨 10 家年度"在建/在订平台数"，置信度分级，已避开 revenue backlog（需求侧）。</w:t>
      </w:r>
    </w:p>
    <w:p>
      <w:pPr>
        <w:pStyle w:val="ListBullet"/>
      </w:pPr>
      <w:r>
        <w:rPr>
          <w:rFonts w:ascii="Consolas" w:hAnsi="Consolas"/>
        </w:rPr>
        <w:t>fleet_panel.csv</w:t>
      </w:r>
      <w:r>
        <w:t>：ESV/NE/ATW/PGN 等逐季舰队利用率与日费率。</w:t>
      </w:r>
    </w:p>
    <w:p>
      <w:pPr>
        <w:pStyle w:val="ListBullet"/>
      </w:pPr>
      <w:r>
        <w:rPr>
          <w:rFonts w:ascii="Consolas" w:hAnsi="Consolas"/>
        </w:rPr>
        <w:t>fred_panel.csv</w:t>
      </w:r>
      <w:r>
        <w:t>：FRED 季度面板（联邦基金利率、CPI、高收益 OAS、C&amp;I 贷款、WTI/Brent、联储资产负债表、5 年盈亏平衡通胀预期）。</w:t>
      </w:r>
    </w:p>
    <w:p>
      <w:pPr>
        <w:pStyle w:val="ListBullet"/>
      </w:pPr>
      <w:r>
        <w:rPr>
          <w:rFonts w:ascii="Consolas" w:hAnsi="Consolas"/>
        </w:rPr>
        <w:t>industry_util_factor.csv</w:t>
      </w:r>
      <w:r>
        <w:t>：fleet 加权</w:t>
      </w:r>
      <w:r>
        <w:rPr>
          <w:b/>
        </w:rPr>
        <w:t>行业利用率共同因子</w:t>
      </w:r>
      <w:r>
        <w:t>（Σ在contract/Σ总平台，2006–2026）。</w:t>
      </w:r>
    </w:p>
    <w:p>
      <w:r>
        <w:rPr>
          <w:b/>
        </w:rPr>
        <w:t>利率体制定义</w:t>
      </w:r>
      <w:r>
        <w:t>：低利率窗 = 2010–2014（ZIRP+QE）与 2020–2021（负实际利率，但资本纪律期，作调节变量）；高利率窗 = 2022–2025（美联储因通胀外生加息）。</w:t>
      </w:r>
    </w:p>
    <w:p>
      <w:pPr>
        <w:pStyle w:val="Heading2"/>
      </w:pPr>
      <w:r>
        <w:t>4. 识别策略：三角识别框架</w:t>
      </w:r>
    </w:p>
    <w:p>
      <w:r>
        <w:t>主证由三层证据 + 一项排除性准实验构成，彼此独立、互为补强：</w:t>
      </w:r>
    </w:p>
    <w:p>
      <w:pPr>
        <w:pStyle w:val="ListBullet"/>
      </w:pPr>
      <w:r>
        <w:rPr>
          <w:b/>
        </w:rPr>
        <w:t>层1 · 同公司条件响应（机制层）</w:t>
      </w:r>
      <w:r>
        <w:t xml:space="preserve">：RIG 投资强度 </w:t>
      </w:r>
      <w:r>
        <w:rPr>
          <w:rFonts w:ascii="Consolas" w:hAnsi="Consolas"/>
        </w:rPr>
        <w:t>capex/净PPE</w:t>
      </w:r>
      <w:r>
        <w:t xml:space="preserve"> 对低利率哑变量、利用率及二者交互做回归（公司内、年度）。核心检验 </w:t>
      </w:r>
      <w:r>
        <w:rPr>
          <w:rFonts w:ascii="Consolas" w:hAnsi="Consolas"/>
        </w:rPr>
        <w:t>lowrate × util</w:t>
      </w:r>
      <w:r>
        <w:t xml:space="preserve"> 的符号与显著性。</w:t>
      </w:r>
    </w:p>
    <w:p>
      <w:pPr>
        <w:pStyle w:val="ListBullet"/>
      </w:pPr>
      <w:r>
        <w:rPr>
          <w:b/>
        </w:rPr>
        <w:t>层2 · 跨公司订单簿面板（普遍层）</w:t>
      </w:r>
      <w:r>
        <w:t>：跨 10 家比较各利率窗年均在建平台数。</w:t>
      </w:r>
    </w:p>
    <w:p>
      <w:pPr>
        <w:pStyle w:val="ListBullet"/>
      </w:pPr>
      <w:r>
        <w:rPr>
          <w:b/>
        </w:rPr>
        <w:t>层3 · 结构领先（时序层）</w:t>
      </w:r>
      <w:r>
        <w:t>：year t 在建 → 3–5 年交付进舰队，订单簿天然是利用率扩张的先行指标，且序数领先于 capex（capex 被建设期现金流抹平）。</w:t>
      </w:r>
    </w:p>
    <w:p>
      <w:pPr>
        <w:pStyle w:val="ListBullet"/>
      </w:pPr>
      <w:r>
        <w:rPr>
          <w:b/>
        </w:rPr>
        <w:t>层4 · 2022 外生加息准实验（排除层）</w:t>
      </w:r>
      <w:r>
        <w:t>：加息外生于 offshore 需求，油价/日费/利用率均高而新建低迷，反向证伪"需求驱动"、坐实利率通道。</w:t>
      </w:r>
    </w:p>
    <w:p>
      <w:pPr>
        <w:pStyle w:val="ListBullet"/>
      </w:pPr>
      <w:r>
        <w:rPr>
          <w:b/>
        </w:rPr>
        <w:t>层5 · 行业利用率条件化（稳健层）</w:t>
      </w:r>
      <w:r>
        <w:t>：以行业利用率共同因子作条件变量，检验层2 是否仅由加速器混淆驱动。</w:t>
      </w:r>
    </w:p>
    <w:p>
      <w:r>
        <w:rPr>
          <w:b/>
        </w:rPr>
        <w:t>红线（贯穿全文）</w:t>
      </w:r>
      <w:r>
        <w:t>：(1) capex 时域相位领先假设已证伪（≈−15°不旋转，系投资加速器签名），记为零结果；订单簿</w:t>
      </w:r>
      <w:r>
        <w:rPr>
          <w:b/>
        </w:rPr>
        <w:t>绝不</w:t>
      </w:r>
      <w:r>
        <w:t>用来"救"该假设。(2) 用户直觉"相同利用率下高低利率更新率不同"表述为</w:t>
      </w:r>
      <w:r>
        <w:rPr>
          <w:b/>
        </w:rPr>
        <w:t>截面相位类比 / 响应函数位移</w:t>
      </w:r>
      <w:r>
        <w:t>，不称"相位领先"。(3) 主证为</w:t>
      </w:r>
      <w:r>
        <w:rPr>
          <w:b/>
        </w:rPr>
        <w:t>条件式佐证、非证明</w:t>
      </w:r>
      <w:r>
        <w:t>。</w:t>
      </w:r>
    </w:p>
    <w:p>
      <w:pPr>
        <w:pStyle w:val="Heading2"/>
      </w:pPr>
      <w:r>
        <w:t>5. 结果</w:t>
      </w:r>
    </w:p>
    <w:p>
      <w:pPr>
        <w:pStyle w:val="Heading3"/>
      </w:pPr>
      <w:r>
        <w:t>5.1 层1：同公司条件响应（RIG）</w:t>
      </w:r>
    </w:p>
    <w:p>
      <w:r>
        <w:t>交互回归（投资强度 = β·low + γ·util + δ·low×util，HC0 稳健 SE）：</w:t>
      </w:r>
    </w:p>
    <w:p>
      <w:pPr>
        <w:pStyle w:val="ListBullet"/>
      </w:pPr>
      <w:r>
        <w:rPr>
          <w:rFonts w:ascii="Consolas" w:hAnsi="Consolas"/>
        </w:rPr>
        <w:t>lowrate × util = +0.0037 (t=9.04)</w:t>
      </w:r>
      <w:r>
        <w:t xml:space="preserve">；控 5 年通胀预期后 </w:t>
      </w:r>
      <w:r>
        <w:rPr>
          <w:b/>
        </w:rPr>
        <w:t>+0.0038 (t=10.10)</w:t>
      </w:r>
      <w:r>
        <w:t>，稳健不变号。</w:t>
      </w:r>
    </w:p>
    <w:p>
      <w:pPr>
        <w:pStyle w:val="ListBullet"/>
      </w:pPr>
      <w:r>
        <w:t>经济含义：在</w:t>
      </w:r>
      <w:r>
        <w:rPr>
          <w:b/>
        </w:rPr>
        <w:t>相同利用率</w:t>
      </w:r>
      <w:r>
        <w:t>下，低利率窗投资强度更高，且溢价随利用率升高而放大——信用扭曲在紧市场顶部最猛（"malinvestment at the peak"）。</w:t>
      </w:r>
    </w:p>
    <w:p>
      <w:pPr>
        <w:pStyle w:val="ListBullet"/>
      </w:pPr>
      <w:r>
        <w:t xml:space="preserve">描述性：低利率窗（2010–14）capex 均值 </w:t>
      </w:r>
      <w:r>
        <w:rPr>
          <w:b/>
        </w:rPr>
        <w:t>1.63 B$</w:t>
      </w:r>
      <w:r>
        <w:t xml:space="preserve"> vs 高利率窗（2022–25）</w:t>
      </w:r>
      <w:r>
        <w:rPr>
          <w:b/>
        </w:rPr>
        <w:t>0.38 B$</w:t>
      </w:r>
      <w:r>
        <w:t xml:space="preserve"> = </w:t>
      </w:r>
      <w:r>
        <w:rPr>
          <w:b/>
        </w:rPr>
        <w:t>4.28×</w:t>
      </w:r>
      <w:r>
        <w:t xml:space="preserve"> 超配。</w:t>
      </w:r>
    </w:p>
    <w:p>
      <w:pPr>
        <w:pStyle w:val="ListBullet"/>
      </w:pPr>
      <w:r>
        <w:t>样本 N 小（RIG 仅低/高利率窗若干年度观测），t 值不作置信证据，仅作方向性指示。</w:t>
      </w:r>
    </w:p>
    <w:p>
      <w:pPr>
        <w:pStyle w:val="Heading3"/>
      </w:pPr>
      <w:r>
        <w:t>5.2 层2：跨公司订单簿面板</w:t>
      </w:r>
    </w:p>
    <w:p>
      <w:r>
        <w:t xml:space="preserve">年均在建平台数 / 公司年：2010–14 低刺激窗 </w:t>
      </w:r>
      <w:r>
        <w:rPr>
          <w:b/>
        </w:rPr>
        <w:t>21.8</w:t>
      </w:r>
      <w:r>
        <w:t xml:space="preserve"> &gt;&gt; 2020–21 低（资本纪律）15.9 ≈ 2022–25 高 </w:t>
      </w:r>
      <w:r>
        <w:rPr>
          <w:b/>
        </w:rPr>
        <w:t>15.2</w:t>
      </w:r>
      <w:r>
        <w:t>。第二套独立数据确认：</w:t>
      </w:r>
      <w:r>
        <w:rPr>
          <w:b/>
        </w:rPr>
        <w:t>低利率放大新造仅当资本纪律缺席时成立</w:t>
      </w:r>
      <w:r>
        <w:t>。</w:t>
      </w:r>
    </w:p>
    <w:p>
      <w:pPr>
        <w:pStyle w:val="Heading3"/>
      </w:pPr>
      <w:r>
        <w:t>5.3 层3：结构领先</w:t>
      </w:r>
    </w:p>
    <w:p>
      <w:r>
        <w:t>订单簿年度计数天然领先利用率扩张 3–5 年（交付周期）。这是哈耶克"领先活在 orderbook 而非 capex"主张的</w:t>
      </w:r>
      <w:r>
        <w:rPr>
          <w:b/>
        </w:rPr>
        <w:t>结构证据</w:t>
      </w:r>
      <w:r>
        <w:t>——capex 测"打款"被建设期抹平成同相（机械必然），订单簿测"签约承诺"才是错配落子时刻。</w:t>
      </w:r>
    </w:p>
    <w:p>
      <w:pPr>
        <w:pStyle w:val="Heading3"/>
      </w:pPr>
      <w:r>
        <w:t>5.4 层4：2022 外生加息准实验</w:t>
      </w:r>
    </w:p>
    <w:p>
      <w:r>
        <w:t>2022–25 行业利用率最高（0.456）却在建最低（均值 12.8）。加速器预测"高 util→高新建"，实际</w:t>
      </w:r>
      <w:r>
        <w:rPr>
          <w:b/>
        </w:rPr>
        <w:t>违反</w:t>
      </w:r>
      <w:r>
        <w:t>——利率抑制的最锐截面证据，且油价同期高位，隔离了"油价驱动新建"的竞争解释。</w:t>
      </w:r>
    </w:p>
    <w:p>
      <w:pPr>
        <w:pStyle w:val="Heading3"/>
      </w:pPr>
      <w:r>
        <w:t>5.5 层5：行业利用率条件化（堵加速器漏洞）</w:t>
      </w:r>
    </w:p>
    <w:p>
      <w:r>
        <w:t>以行业利用率共同因子条件化层2，三 regime 回归（控行业利用率）：</w:t>
      </w:r>
    </w:p>
    <w:p>
      <w:pPr>
        <w:pStyle w:val="ListBullet"/>
      </w:pPr>
      <w:r>
        <w:rPr>
          <w:rFonts w:ascii="Consolas" w:hAnsi="Consolas"/>
        </w:rPr>
        <w:t>low_stim(2010-14) = +3.36 (t=1.03)</w:t>
      </w:r>
      <w:r>
        <w:t>、</w:t>
      </w:r>
      <w:r>
        <w:rPr>
          <w:rFonts w:ascii="Consolas" w:hAnsi="Consolas"/>
        </w:rPr>
        <w:t>low_disc(2020-21) = −14.28 (t=−2.47, 显著负)</w:t>
      </w:r>
      <w:r>
        <w:t>、</w:t>
      </w:r>
      <w:r>
        <w:rPr>
          <w:rFonts w:ascii="Consolas" w:hAnsi="Consolas"/>
        </w:rPr>
        <w:t>high(2022-25) = −7.97 (t=−1.40)</w:t>
      </w:r>
      <w:r>
        <w:t>、</w:t>
      </w:r>
      <w:r>
        <w:rPr>
          <w:rFonts w:ascii="Consolas" w:hAnsi="Consolas"/>
        </w:rPr>
        <w:t>ind_util = +21.59 (t=1.62)</w:t>
      </w:r>
      <w:r>
        <w:t>。</w:t>
      </w:r>
    </w:p>
    <w:p>
      <w:pPr>
        <w:pStyle w:val="ListBullet"/>
      </w:pPr>
      <w:r>
        <w:t>含义：原始层2 对比含</w:t>
      </w:r>
      <w:r>
        <w:rPr>
          <w:b/>
        </w:rPr>
        <w:t>加速器 + 资本纪律</w:t>
      </w:r>
      <w:r>
        <w:t xml:space="preserve">双重混淆。控行业利用率后，2010–14 比 2022–25 在建多约 </w:t>
      </w:r>
      <w:r>
        <w:rPr>
          <w:b/>
        </w:rPr>
        <w:t>+11 艘（方向性存活、高利率样本仅 4 格、不显著）</w:t>
      </w:r>
      <w:r>
        <w:t>；2020–21 低利率反而比高利率更少（β=−14.28 显著）= 资本纪律调节定量确认。</w:t>
      </w:r>
    </w:p>
    <w:p>
      <w:pPr>
        <w:pStyle w:val="ListBullet"/>
      </w:pPr>
      <w:r>
        <w:rPr>
          <w:b/>
        </w:rPr>
        <w:t>对主证影响</w:t>
      </w:r>
      <w:r>
        <w:t>：层2 跨公司对比</w:t>
      </w:r>
      <w:r>
        <w:rPr>
          <w:b/>
        </w:rPr>
        <w:t>降级为条件式/辅助一致</w:t>
      </w:r>
      <w:r>
        <w:t>，主证改倚层1（最干净）+ 层4（排除性准实验）+ 层3（结构领先）。</w:t>
      </w:r>
    </w:p>
    <w:p>
      <w:r>
        <w:rPr>
          <w:b/>
        </w:rPr>
        <w:t>RIG 单案例对齐</w:t>
      </w:r>
      <w:r>
        <w:t xml:space="preserve">（图示，非检验）：2011 低利率 util≈56% 在建 13 vs 2024 高利率 util≈58% 在建 1 ≈ </w:t>
      </w:r>
      <w:r>
        <w:rPr>
          <w:b/>
        </w:rPr>
        <w:t>13×</w:t>
      </w:r>
      <w:r>
        <w:t xml:space="preserve"> 同利用率差。</w:t>
      </w:r>
    </w:p>
    <w:p>
      <w:pPr>
        <w:pStyle w:val="Heading2"/>
      </w:pPr>
      <w:r>
        <w:t>6. 讨论：我们声称什么、不声称什么</w:t>
      </w:r>
    </w:p>
    <w:p>
      <w:r>
        <w:rPr>
          <w:b/>
        </w:rPr>
        <w:t>声称（条件式）</w:t>
      </w:r>
      <w:r>
        <w:t>：在低利率体制下、且资本纪律缺席时，海上钻井业呈现与哈耶克预期一致的资本超配——同利用率下投资更强、且在周期顶部最猛；2022 外生加息后投资被利率（而非需求）抑制。这与"信用扭曲→跨期资本超配→信用收缩后清算"一致。</w:t>
      </w:r>
    </w:p>
    <w:p>
      <w:r>
        <w:rPr>
          <w:b/>
        </w:rPr>
        <w:t>不声称</w:t>
      </w:r>
      <w:r>
        <w:t>：</w:t>
      </w:r>
    </w:p>
    <w:p>
      <w:pPr>
        <w:pStyle w:val="ListBullet"/>
      </w:pPr>
      <w:r>
        <w:t>不构成对哈耶克理论的因果证伪/证实；观察等价（投资加速器）未完全隔离。</w:t>
      </w:r>
    </w:p>
    <w:p>
      <w:pPr>
        <w:pStyle w:val="ListBullet"/>
      </w:pPr>
      <w:r>
        <w:t>capex 时域相位领先</w:t>
      </w:r>
      <w:r>
        <w:rPr>
          <w:b/>
        </w:rPr>
        <w:t>未检出</w:t>
      </w:r>
      <w:r>
        <w:t>（已证伪、记零结果）；订单簿仅作补强与结构领先证据，不用于"救"相位假设。</w:t>
      </w:r>
    </w:p>
    <w:p>
      <w:pPr>
        <w:pStyle w:val="ListBullet"/>
      </w:pPr>
      <w:r>
        <w:t>跨公司订单簿对比经条件化后</w:t>
      </w:r>
      <w:r>
        <w:rPr>
          <w:b/>
        </w:rPr>
        <w:t>不显著</w:t>
      </w:r>
      <w:r>
        <w:t>，故不独立撑场。</w:t>
      </w:r>
    </w:p>
    <w:p>
      <w:pPr>
        <w:pStyle w:val="ListBullet"/>
      </w:pPr>
      <w:r>
        <w:t>"相同利用率下更新率差"是</w:t>
      </w:r>
      <w:r>
        <w:rPr>
          <w:b/>
        </w:rPr>
        <w:t>响应函数位移（截面相位类比）</w:t>
      </w:r>
      <w:r>
        <w:t>，非时域相位领先。</w:t>
      </w:r>
    </w:p>
    <w:p>
      <w:pPr>
        <w:pStyle w:val="Heading2"/>
      </w:pPr>
      <w:r>
        <w:t>7. 局限（写给审查组）</w:t>
      </w:r>
    </w:p>
    <w:p>
      <w:pPr>
        <w:pStyle w:val="ListNumber"/>
      </w:pPr>
      <w:r>
        <w:rPr>
          <w:b/>
        </w:rPr>
        <w:t>样本小、跨窗口覆盖有限</w:t>
      </w:r>
      <w:r>
        <w:t>：仅 RIG 同时有长 capex + 利用率序列；NE 仅 4 年、VAL 有 capex 无利用率、SDRL 破产重组换 CIK。层1 交互回归 N 小。</w:t>
      </w:r>
    </w:p>
    <w:p>
      <w:pPr>
        <w:pStyle w:val="ListNumber"/>
      </w:pPr>
      <w:r>
        <w:rPr>
          <w:b/>
        </w:rPr>
        <w:t>无工具变量、无严格准实验 IV</w:t>
      </w:r>
      <w:r>
        <w:t>：2022 加息是最强外生卡，但与 OAS/资本冻结共动需拆；识别为"条件式佐证"非"识别"。</w:t>
      </w:r>
    </w:p>
    <w:p>
      <w:pPr>
        <w:pStyle w:val="ListNumber"/>
      </w:pPr>
      <w:r>
        <w:rPr>
          <w:b/>
        </w:rPr>
        <w:t>观测等价未完全除</w:t>
      </w:r>
      <w:r>
        <w:t>：层1 同公司条件响应已控该公司自身利用率，但跨期"预期/资本纪律"仍可能混淆；层5 条件化显示加速器与纪律确为混淆源。</w:t>
      </w:r>
    </w:p>
    <w:p>
      <w:pPr>
        <w:pStyle w:val="ListNumber"/>
      </w:pPr>
      <w:r>
        <w:rPr>
          <w:b/>
        </w:rPr>
        <w:t>油价未做频域严格隔离</w:t>
      </w:r>
      <w:r>
        <w:t>：早期偏相干（ESV n=16）显示 WTI↔util 相干 0.588 &gt; newbuild↔util 0.426，频域未干净隔离油价（常态弱相关、危机强相关）。</w:t>
      </w:r>
    </w:p>
    <w:p>
      <w:pPr>
        <w:pStyle w:val="ListNumber"/>
      </w:pPr>
      <w:r>
        <w:rPr>
          <w:b/>
        </w:rPr>
        <w:t>层2 经条件化降级</w:t>
      </w:r>
      <w:r>
        <w:t>：原始跨公司对比含加速器+纪律混淆，主证重心已收回到层1/层4/层3。</w:t>
      </w:r>
    </w:p>
    <w:p>
      <w:pPr>
        <w:pStyle w:val="ListNumber"/>
      </w:pPr>
      <w:r>
        <w:rPr>
          <w:b/>
        </w:rPr>
        <w:t>framing 双刃</w:t>
      </w:r>
      <w:r>
        <w:t>：标题挂"Hayek 佐证"易被美系顶刊视为意识形态；商业改写为"资本错配/久期错配"后又非哈耶克。本文定位为中上游领域/专科期刊的实证佐证型论文。</w:t>
      </w:r>
    </w:p>
    <w:p>
      <w:pPr>
        <w:pStyle w:val="Heading2"/>
      </w:pPr>
      <w:r>
        <w:t>8. 结论</w:t>
      </w:r>
    </w:p>
    <w:p>
      <w:r>
        <w:t>海上钻井市场为哈耶克利率扭曲命题提供了一项</w:t>
      </w:r>
      <w:r>
        <w:rPr>
          <w:b/>
        </w:rPr>
        <w:t>频域 + 财报 + 准实验三角佐证</w:t>
      </w:r>
      <w:r>
        <w:t>：低利率/廉价信用期 capex 超配约 4 倍、同利用率下投资响应更强且在顶部最猛、外生加息后投资被抑制——与"信用扭曲→资本超配→清算"一致。但本研究</w:t>
      </w:r>
      <w:r>
        <w:rPr>
          <w:b/>
        </w:rPr>
        <w:t>为条件式佐证、非因果证明</w:t>
      </w:r>
      <w:r>
        <w:t>；识别强度、样本宽度与观测等价问题决定了它适合领域期刊而非顶刊。两项贡献（同节点双指标 + 油价微观刚性论）使 ABCT 主张可被干净识别与讨论，是本文立论基石。</w:t>
      </w:r>
    </w:p>
    <w:p>
      <w:r>
        <w:t>------------------------------</w:t>
      </w:r>
    </w:p>
    <w:p>
      <w:pPr>
        <w:pStyle w:val="Heading3"/>
      </w:pPr>
      <w:r>
        <w:t xml:space="preserve">参考文献（精选，完整见 </w:t>
      </w:r>
      <w:r>
        <w:rPr>
          <w:rFonts w:ascii="Consolas" w:hAnsi="Consolas"/>
        </w:rPr>
        <w:t>文献/参考文献.md</w:t>
      </w:r>
      <w:r>
        <w:t>）</w:t>
      </w:r>
    </w:p>
    <w:p>
      <w:pPr>
        <w:pStyle w:val="ListBullet"/>
      </w:pPr>
      <w:r>
        <w:t xml:space="preserve">Hamilton, J. D. (2009). Causes and consequences of the oil shock of 2007–08. </w:t>
      </w:r>
      <w:r>
        <w:rPr>
          <w:i/>
        </w:rPr>
        <w:t>Brookings Papers on Economic Activity</w:t>
      </w:r>
      <w:r>
        <w:t>, 2009(1), 215–261.</w:t>
      </w:r>
    </w:p>
    <w:p>
      <w:pPr>
        <w:pStyle w:val="ListBullet"/>
      </w:pPr>
      <w:r>
        <w:t xml:space="preserve">Hughes, J. E., Knittel, C. R., &amp; Sperling, D. (2008). Evidence of a shift in the short-run price elasticity of gasoline demand. </w:t>
      </w:r>
      <w:r>
        <w:rPr>
          <w:i/>
        </w:rPr>
        <w:t>The Energy Journal</w:t>
      </w:r>
      <w:r>
        <w:t>, 29(1), 113–134.</w:t>
      </w:r>
    </w:p>
    <w:p>
      <w:pPr>
        <w:pStyle w:val="ListBullet"/>
      </w:pPr>
      <w:r>
        <w:t xml:space="preserve">Kilian, L. (2009). Not all oil price shocks are alike. </w:t>
      </w:r>
      <w:r>
        <w:rPr>
          <w:i/>
        </w:rPr>
        <w:t>American Economic Review</w:t>
      </w:r>
      <w:r>
        <w:t>, 99(3), 1053–1069.</w:t>
      </w:r>
    </w:p>
    <w:p>
      <w:pPr>
        <w:pStyle w:val="ListBullet"/>
      </w:pPr>
      <w:r>
        <w:t xml:space="preserve">Hayek, F. A. (1935). </w:t>
      </w:r>
      <w:r>
        <w:rPr>
          <w:i/>
        </w:rPr>
        <w:t>Prices and Production</w:t>
      </w:r>
      <w:r>
        <w:t>. Routledge.</w:t>
      </w:r>
    </w:p>
    <w:p>
      <w:pPr>
        <w:pStyle w:val="ListBullet"/>
      </w:pPr>
      <w:r>
        <w:t xml:space="preserve">Laubach, T., &amp; Williams, J. C. (2003). Measuring the natural rate of interest. </w:t>
      </w:r>
      <w:r>
        <w:rPr>
          <w:i/>
        </w:rPr>
        <w:t>Review of Economics and Statistics</w:t>
      </w:r>
      <w:r>
        <w:t>, 85(4), 1063–1070.</w:t>
      </w:r>
    </w:p>
    <w:p>
      <w:pPr>
        <w:pStyle w:val="ListBullet"/>
      </w:pPr>
      <w:r>
        <w:t xml:space="preserve">Mulligan, R. F. (2025). Industrial production over the business cycle 1919–2022… </w:t>
      </w:r>
      <w:r>
        <w:rPr>
          <w:i/>
        </w:rPr>
        <w:t>Review of Austrian Economics</w:t>
      </w:r>
      <w:r>
        <w:t>.</w:t>
      </w:r>
    </w:p>
    <w:p>
      <w:pPr>
        <w:pStyle w:val="ListBullet"/>
      </w:pPr>
      <w:r>
        <w:t xml:space="preserve">Luther, W. J., &amp; McElyea, J. (2014). … </w:t>
      </w:r>
      <w:r>
        <w:rPr>
          <w:i/>
        </w:rPr>
        <w:t>Journal of Economics and Finance</w:t>
      </w:r>
      <w:r>
        <w:t>.</w:t>
      </w:r>
    </w:p>
    <w:p>
      <w:pPr>
        <w:pStyle w:val="ListBullet"/>
      </w:pPr>
      <w:r>
        <w:t xml:space="preserve">Carilli, A. M., &amp; Dempster, G. M. (2008). … </w:t>
      </w:r>
      <w:r>
        <w:rPr>
          <w:i/>
        </w:rPr>
        <w:t>Review of Austrian Economics</w:t>
      </w:r>
      <w:r>
        <w:t>.</w:t>
      </w:r>
    </w:p>
    <w:p>
      <w:pPr>
        <w:pStyle w:val="ListBullet"/>
      </w:pPr>
      <w:r>
        <w:t xml:space="preserve">Young, A. T. (2005, 2012). … </w:t>
      </w:r>
      <w:r>
        <w:rPr>
          <w:i/>
        </w:rPr>
        <w:t>Review of Austrian Economics</w:t>
      </w:r>
      <w:r>
        <w:t>.</w:t>
      </w:r>
    </w:p>
    <w:p>
      <w:pPr>
        <w:pStyle w:val="ListBullet"/>
      </w:pPr>
      <w:r>
        <w:t xml:space="preserve">Bijmsans, P., &amp; Mougeot, M. (2009). … </w:t>
      </w:r>
      <w:r>
        <w:rPr>
          <w:i/>
        </w:rPr>
        <w:t>Journal of Macroeconomics</w:t>
      </w:r>
      <w:r>
        <w:t>.</w:t>
      </w:r>
    </w:p>
    <w:p>
      <w:pPr>
        <w:pStyle w:val="ListBullet"/>
      </w:pPr>
      <w:r>
        <w:t xml:space="preserve">Holston, K., Laubach, T., &amp; Williams, J. C. (2017). Measuring the natural rate of interest: International trends and determinants. </w:t>
      </w:r>
      <w:r>
        <w:rPr>
          <w:i/>
        </w:rPr>
        <w:t>Journal of International Economics</w:t>
      </w:r>
      <w:r>
        <w:t>.</w:t>
      </w:r>
    </w:p>
    <w:p>
      <w:r>
        <w:rPr>
          <w:i/>
        </w:rPr>
        <w:t>（其余实证 ABCT、自然利率、资本错配/久期相关文献见 `文献/参考文献.md`。）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SimSu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eastAsia="SimSu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eastAsia="SimSu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eastAsia="SimSu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