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line="360"/>
      </w:pPr>
      <w:r>
        <w:rPr>
          <w:rFonts w:ascii="Times New Roman" w:cs="Times New Roman" w:eastAsia="Times New Roman" w:hAnsi="Times New Roman"/>
          <w:sz w:val="26"/>
          <w:szCs w:val="26"/>
        </w:rPr>
        <w:t xml:space="preserve">Additional file 7</w:t>
      </w:r>
    </w:p>
    <w:p>
      <w:pPr>
        <w:pStyle w:val="Heading2"/>
        <w:spacing w:after="160" w:line="360"/>
      </w:pPr>
      <w:r>
        <w:rPr>
          <w:rFonts w:ascii="Times New Roman" w:cs="Times New Roman" w:eastAsia="Times New Roman" w:hAnsi="Times New Roman"/>
          <w:sz w:val="24"/>
          <w:szCs w:val="24"/>
        </w:rPr>
        <w:t xml:space="preserve">Exhaustive evaluation of short-form candidates</w:t>
      </w:r>
    </w:p>
    <w:p>
      <w:pPr>
        <w:spacing w:after="160" w:line="360"/>
      </w:pPr>
      <w:r>
        <w:rPr>
          <w:rFonts w:ascii="Times New Roman" w:cs="Times New Roman" w:eastAsia="Times New Roman" w:hAnsi="Times New Roman"/>
          <w:i/>
          <w:iCs/>
          <w:sz w:val="22"/>
          <w:szCs w:val="22"/>
        </w:rPr>
        <w:t xml:space="preserve">Public acceptance of artificial intelligence in health care: a cumulative hierarchy in a 16-item instrument, German–Italian measurement equivalence, and a five-item short form</w:t>
      </w:r>
    </w:p>
    <w:p>
      <w:pPr>
        <w:spacing w:after="160" w:line="360"/>
      </w:pPr>
      <w:r>
        <w:rPr>
          <w:rFonts w:ascii="Times New Roman" w:cs="Times New Roman" w:eastAsia="Times New Roman" w:hAnsi="Times New Roman"/>
          <w:sz w:val="20"/>
          <w:szCs w:val="20"/>
        </w:rPr>
        <w:t xml:space="preserve">All values were computed in R 4.5.1 on 9 August 2026 and are reproduced here unchanged from the analysis output files. Decimal separators have been converted from comma to point; no value has been recomputed, rounded further or derived. The complete analysis code is provided as Additional file 3.</w:t>
      </w:r>
    </w:p>
    <w:p>
      <w:pPr>
        <w:spacing w:after="160" w:line="360"/>
      </w:pPr>
      <w:r>
        <w:rPr>
          <w:rFonts w:ascii="Times New Roman" w:cs="Times New Roman" w:eastAsia="Times New Roman" w:hAnsi="Times New Roman"/>
          <w:sz w:val="22"/>
          <w:szCs w:val="22"/>
        </w:rPr>
        <w:t xml:space="preserve">The five-item form was adopted as the final short form on 9 August 2026. The tables below document the search that led to it and the alternatives that were rejected. Two points apply throughout this section. The search space is exhaustive: every one of the 4368 five-item and 8008 six-item subsets of the 16 applications was evaluated, so that no candidate is excluded by a prior restriction. And the coefficient of invariant item ordering is reported for the item set named in each row, not for the reduced set that check.iio leaves after its elimination step; the two differ whenever items are removed — for the full 16-item instrument 0.267 against 0.303, for the selected five-item form 0.507 against 0.634 — and the values reported in earlier versions of this analysis were of the second kind. All coefficients in this section were obtained with the elimination step disabled; the elimination was run separately to record which items it removes.</w:t>
      </w:r>
    </w:p>
    <w:p>
      <w:pPr>
        <w:pStyle w:val="Heading2"/>
        <w:spacing w:after="140" w:before="240" w:line="360"/>
      </w:pPr>
      <w:r>
        <w:rPr>
          <w:rFonts w:ascii="Times New Roman" w:cs="Times New Roman" w:eastAsia="Times New Roman" w:hAnsi="Times New Roman"/>
          <w:b/>
          <w:bCs/>
          <w:sz w:val="22"/>
          <w:szCs w:val="22"/>
        </w:rPr>
        <w:t xml:space="preserve">7.1 The thirty five-item subsets with the highest person ordering</w:t>
      </w:r>
    </w:p>
    <w:p>
      <w:pPr>
        <w:spacing w:after="160" w:line="360"/>
      </w:pPr>
      <w:r>
        <w:rPr>
          <w:rFonts w:ascii="Times New Roman" w:cs="Times New Roman" w:eastAsia="Times New Roman" w:hAnsi="Times New Roman"/>
          <w:sz w:val="22"/>
          <w:szCs w:val="22"/>
        </w:rPr>
        <w:t xml:space="preserve">All 4368 five-item subsets of the 16 applications were evaluated; the thirty with the highest person ordering are listed, ranked by H</w:t>
      </w:r>
      <w:r>
        <w:rPr>
          <w:rFonts w:ascii="Times New Roman" w:cs="Times New Roman" w:eastAsia="Times New Roman" w:hAnsi="Times New Roman"/>
          <w:sz w:val="22"/>
          <w:szCs w:val="22"/>
          <w:vertAlign w:val="superscript"/>
        </w:rPr>
        <w:t xml:space="preserve">T</w:t>
      </w:r>
      <w:r>
        <w:rPr>
          <w:rFonts w:ascii="Times New Roman" w:cs="Times New Roman" w:eastAsia="Times New Roman" w:hAnsi="Times New Roman"/>
          <w:sz w:val="22"/>
          <w:szCs w:val="22"/>
        </w:rPr>
        <w:t xml:space="preserve">. Items are identified by the numeric part of their code (014 = automated medication reminders, 008 = analysis of clinical data, 016 = planning and coordination, 006 = individualised treatment plans, 007 = risk assessment, 009 = emergencies and triage, 010 = urgent decisions). Q3 max is the largest centred residual correlation within the form; rho is the Spearman correlation of the short score with the 16-item score; span is the difference in acceptance proportion between the easiest and the most difficult item.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2"/>
        <w:gridCol w:w="1002"/>
        <w:gridCol w:w="1002"/>
        <w:gridCol w:w="1002"/>
        <w:gridCol w:w="1002"/>
        <w:gridCol w:w="1002"/>
        <w:gridCol w:w="1002"/>
        <w:gridCol w:w="1002"/>
        <w:gridCol w:w="1010"/>
      </w:tblGrid>
      <w:tr>
        <w:trPr>
          <w:tblHeader/>
        </w:trPr>
        <w:tc>
          <w:tcPr>
            <w:tcW w:type="dxa" w:w="10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Rank</w:t>
            </w:r>
          </w:p>
        </w:tc>
        <w:tc>
          <w:tcPr>
            <w:tcW w:type="dxa" w:w="10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k</w:t>
            </w:r>
          </w:p>
        </w:tc>
        <w:tc>
          <w:tcPr>
            <w:tcW w:type="dxa" w:w="10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Items</w:t>
            </w:r>
          </w:p>
        </w:tc>
        <w:tc>
          <w:tcPr>
            <w:tcW w:type="dxa" w:w="10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H</w:t>
            </w:r>
          </w:p>
        </w:tc>
        <w:tc>
          <w:tcPr>
            <w:tcW w:type="dxa" w:w="10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H^T</w:t>
            </w:r>
            <w:r>
              <w:rPr>
                <w:rFonts w:ascii="Times New Roman" w:cs="Times New Roman" w:eastAsia="Times New Roman" w:hAnsi="Times New Roman"/>
                <w:b/>
                <w:bCs/>
                <w:sz w:val="16"/>
                <w:szCs w:val="16"/>
                <w:vertAlign w:val="superscript"/>
              </w:rPr>
              <w:t xml:space="preserve"/>
            </w:r>
          </w:p>
        </w:tc>
        <w:tc>
          <w:tcPr>
            <w:tcW w:type="dxa" w:w="10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Q3 max</w:t>
            </w:r>
          </w:p>
        </w:tc>
        <w:tc>
          <w:tcPr>
            <w:tcW w:type="dxa" w:w="10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rho with 16 items</w:t>
            </w:r>
          </w:p>
        </w:tc>
        <w:tc>
          <w:tcPr>
            <w:tcW w:type="dxa" w:w="10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Span</w:t>
            </w:r>
          </w:p>
        </w:tc>
        <w:tc>
          <w:tcPr>
            <w:tcW w:type="dxa" w:w="101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Emergency pair</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001+008+009+010+014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0.874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001+009+010+014+015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0.847</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008+009+010+014+015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0.539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0.878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007+008+009+010+014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0.645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0.591</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0.439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0.882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001+009+010+014+016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0.870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001+009+010+012+014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0.541</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0.395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0.869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006+008+009+010+014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0.655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0.410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0.892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009+010+014+015+016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0.623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0.869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001+006+009+010+014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0.398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0.876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003+008+009+010+014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0.638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0.883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005+008+009+010+014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0.642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0.441</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0.879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008+009+010+012+014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0.577</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0.384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0.894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001+003+009+010+014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0.488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0.864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008+009+010+014+016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0.899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006+009+010+014+015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0.629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0.405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0.878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004+008+009+010+014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0.625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0.441</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0.893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17</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001+002+009+010+014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0.557</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0.551</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0.862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001+004+009+010+014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0.410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0.880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001+005+009+010+014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0.557</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0.404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0.869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001+007+009+010+014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0.404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0.879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21</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001+009+010+013+014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0.413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0.860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009+010+012+014+015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0.409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0.878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001+009+010+011+014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0.483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0.852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003+009+010+014+015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0.613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0.561</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0.471</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0.869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008+009+010+013+014</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0.557</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0.415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0.882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002+009+010+014+015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0.869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27</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005+009+010+014+015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0.409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0.871</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28</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006+009+010+014+016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0.627</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0.386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0.896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004+009+010+014+015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0.407</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0.883</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30</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007+009+010+014+015</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0.549</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0.436</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0.882</w:t>
            </w:r>
          </w:p>
        </w:tc>
        <w:tc>
          <w:tcPr>
            <w:tcW w:type="dxa" w:w="10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1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bl>
    <w:p>
      <w:pPr>
        <w:spacing w:after="160"/>
      </w:pPr>
    </w:p>
    <w:p>
      <w:pPr>
        <w:pStyle w:val="Heading2"/>
        <w:spacing w:after="140" w:before="240" w:line="360"/>
      </w:pPr>
      <w:r>
        <w:rPr>
          <w:rFonts w:ascii="Times New Roman" w:cs="Times New Roman" w:eastAsia="Times New Roman" w:hAnsi="Times New Roman"/>
          <w:b/>
          <w:bCs/>
          <w:sz w:val="22"/>
          <w:szCs w:val="22"/>
        </w:rPr>
        <w:t xml:space="preserve">7.2 The fifty-seven five-item subsets that satisfy the decision rule</w:t>
      </w:r>
    </w:p>
    <w:p>
      <w:pPr>
        <w:spacing w:after="160" w:line="360"/>
      </w:pPr>
      <w:r>
        <w:rPr>
          <w:rFonts w:ascii="Times New Roman" w:cs="Times New Roman" w:eastAsia="Times New Roman" w:hAnsi="Times New Roman"/>
          <w:sz w:val="22"/>
          <w:szCs w:val="22"/>
        </w:rPr>
        <w:t xml:space="preserve">The decision rule admits a five-item subset if its largest centred Q3 is at most 0.20, its rank correlation with the 16-item score at least 0.90 and its difficulty span at least 0.50. Fifty-seven of the 4368 subsets satisfy all three; they are listed here, ranked by H</w:t>
      </w:r>
      <w:r>
        <w:rPr>
          <w:rFonts w:ascii="Times New Roman" w:cs="Times New Roman" w:eastAsia="Times New Roman" w:hAnsi="Times New Roman"/>
          <w:sz w:val="22"/>
          <w:szCs w:val="22"/>
          <w:vertAlign w:val="superscript"/>
        </w:rPr>
        <w:t xml:space="preserve">T</w:t>
      </w:r>
      <w:r>
        <w:rPr>
          <w:rFonts w:ascii="Times New Roman" w:cs="Times New Roman" w:eastAsia="Times New Roman" w:hAnsi="Times New Roman"/>
          <w:sz w:val="22"/>
          <w:szCs w:val="22"/>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
        <w:gridCol w:w="902"/>
        <w:gridCol w:w="902"/>
        <w:gridCol w:w="902"/>
        <w:gridCol w:w="902"/>
        <w:gridCol w:w="902"/>
        <w:gridCol w:w="902"/>
        <w:gridCol w:w="902"/>
        <w:gridCol w:w="902"/>
        <w:gridCol w:w="908"/>
      </w:tblGrid>
      <w:tr>
        <w:trPr>
          <w:tblHeader/>
        </w:trPr>
        <w:tc>
          <w:tcPr>
            <w:tcW w:type="dxa" w:w="9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Rank</w:t>
            </w:r>
          </w:p>
        </w:tc>
        <w:tc>
          <w:tcPr>
            <w:tcW w:type="dxa" w:w="9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Items</w:t>
            </w:r>
          </w:p>
        </w:tc>
        <w:tc>
          <w:tcPr>
            <w:tcW w:type="dxa" w:w="9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H</w:t>
            </w:r>
          </w:p>
        </w:tc>
        <w:tc>
          <w:tcPr>
            <w:tcW w:type="dxa" w:w="9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H^T</w:t>
            </w:r>
            <w:r>
              <w:rPr>
                <w:rFonts w:ascii="Times New Roman" w:cs="Times New Roman" w:eastAsia="Times New Roman" w:hAnsi="Times New Roman"/>
                <w:b/>
                <w:bCs/>
                <w:sz w:val="16"/>
                <w:szCs w:val="16"/>
                <w:vertAlign w:val="superscript"/>
              </w:rPr>
              <w:t xml:space="preserve"/>
            </w:r>
          </w:p>
        </w:tc>
        <w:tc>
          <w:tcPr>
            <w:tcW w:type="dxa" w:w="9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Q3 max</w:t>
            </w:r>
          </w:p>
        </w:tc>
        <w:tc>
          <w:tcPr>
            <w:tcW w:type="dxa" w:w="9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rho</w:t>
            </w:r>
          </w:p>
        </w:tc>
        <w:tc>
          <w:tcPr>
            <w:tcW w:type="dxa" w:w="9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Span</w:t>
            </w:r>
          </w:p>
        </w:tc>
        <w:tc>
          <w:tcPr>
            <w:tcW w:type="dxa" w:w="9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Emergency pair</w:t>
            </w:r>
          </w:p>
        </w:tc>
        <w:tc>
          <w:tcPr>
            <w:tcW w:type="dxa" w:w="90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Rank by H^T among all 4368</w:t>
            </w:r>
          </w:p>
        </w:tc>
        <w:tc>
          <w:tcPr>
            <w:tcW w:type="dxa" w:w="90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Selected</w:t>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007+008+010+014+016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103</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006+008+010+014+016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0.493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164</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004+006+008+010+014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0.492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0.200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171</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006+010+012+014+016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0.486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192</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004+008+010+014+016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0.484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0.181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201</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003+006+008+010+014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0.482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215</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003+008+010+014+016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0.477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0.109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233</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002+007+008+010+014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0.472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260</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007+010+012+014+016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0.472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260</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006+007+010+014+016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0.470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272</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004+010+012+014+016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0.469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276</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002+004+008+010+014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0.466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287</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005+010+012+014+016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0.463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298</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002+006+008+010+014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0.460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312</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005+006+010+012+014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0.460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312</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006+007+010+012+014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323</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002+008+010+014+016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0.530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0.180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325</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006+010+013+014+016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325</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003+006+010+012+014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329</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004+007+010+014+016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347</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003+007+010+014+016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359</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002+005+008+010+014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364</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002+006+010+012+014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0.535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364</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004+006+010+014+016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364</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004+006+007+010+014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369</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003+004+010+014+016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0.138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381</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002+004+010+012+014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391</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003+006+007+010+014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391</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004+010+013+014+016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400</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005+007+010+012+014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400</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004+006+010+012+014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413</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002+006+010+014+016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428</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003+006+010+014+016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428</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004+007+010+012+014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433</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002+004+010+014+016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0.533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440</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004+005+010+014+016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440</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002+007+010+012+014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0.438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455</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002+007+010+014+016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0.435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479</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004+005+010+012+014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0.435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479</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003+004+006+010+014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0.433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490</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003+005+010+014+016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0.538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0.432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0.138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495</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002+005+010+012+014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0.431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499</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002+003+007+010+014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0.530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0.430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511</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002+006+007+010+014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0.139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531</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003+006+010+011+014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0.499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0.136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531</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002+006+010+013+014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545</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004+006+010+011+014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0.491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554</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002+004+007+010+014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562</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003+006+010+013+014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562</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50</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002+005+006+010+014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568</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002+007+010+013+014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0.485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568</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004+006+010+013+014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568</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002+004+006+010+014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579</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002+003+006+010+014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0.523</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595</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002+005+010+014+016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0.421</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0.908</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595</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56</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002+005+007+010+014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0.417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617</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002+004+005+010+014</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0.509</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0.415</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0.907</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c>
          <w:tcPr>
            <w:tcW w:type="dxa" w:w="90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639</w:t>
            </w:r>
          </w:p>
        </w:tc>
        <w:tc>
          <w:tcPr>
            <w:tcW w:type="dxa" w:w="9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bl>
    <w:p>
      <w:pPr>
        <w:spacing w:after="160"/>
      </w:pPr>
    </w:p>
    <w:p>
      <w:pPr>
        <w:spacing w:after="160" w:line="360"/>
      </w:pPr>
      <w:r>
        <w:rPr>
          <w:rFonts w:ascii="Times New Roman" w:cs="Times New Roman" w:eastAsia="Times New Roman" w:hAnsi="Times New Roman"/>
          <w:sz w:val="22"/>
          <w:szCs w:val="22"/>
        </w:rPr>
        <w:t xml:space="preserve">The selected form has the highest person ordering among the admissible subsets. Across the whole search space it ranks 103rd of 4368, at the 97.7th percentile, and at the 99.6th percentile among the 2626 subsets with acceptable local independence; no subset dominates it on all five criteria at once. Two features of the space bear on the interpretation. Shortening by itself buys little: the median five-item subset reaches 0.290 against 0.267 for the full instrument, and 57.2 per cent of all subsets exceed the full instrument. And unconstrained maximisation of person ordering follows redundancy: of the hundred subsets with the highest values, 57 retain both emergency items, with a median centred Q3 of 0.381, and the fifteen highest retain them without exception. This is the reason the rule constrains local independence before it maximises person ordering (H</w:t>
      </w:r>
      <w:r>
        <w:rPr>
          <w:rFonts w:ascii="Times New Roman" w:cs="Times New Roman" w:eastAsia="Times New Roman" w:hAnsi="Times New Roman"/>
          <w:sz w:val="22"/>
          <w:szCs w:val="22"/>
          <w:vertAlign w:val="superscript"/>
        </w:rPr>
        <w:t xml:space="preserve">T</w:t>
      </w:r>
      <w:r>
        <w:rPr>
          <w:rFonts w:ascii="Times New Roman" w:cs="Times New Roman" w:eastAsia="Times New Roman" w:hAnsi="Times New Roman"/>
          <w:sz w:val="22"/>
          <w:szCs w:val="22"/>
        </w:rPr>
        <w:t xml:space="preserve"> = 0.507 for the selected form).</w:t>
      </w:r>
    </w:p>
    <w:p>
      <w:pPr>
        <w:pStyle w:val="Heading2"/>
        <w:spacing w:after="140" w:before="240" w:line="360"/>
      </w:pPr>
      <w:r>
        <w:rPr>
          <w:rFonts w:ascii="Times New Roman" w:cs="Times New Roman" w:eastAsia="Times New Roman" w:hAnsi="Times New Roman"/>
          <w:b/>
          <w:bCs/>
          <w:sz w:val="22"/>
          <w:szCs w:val="22"/>
        </w:rPr>
        <w:t xml:space="preserve">7.3 Split-half distributions and class separation</w:t>
      </w:r>
    </w:p>
    <w:p>
      <w:pPr>
        <w:spacing w:after="160" w:line="360"/>
      </w:pPr>
      <w:r>
        <w:rPr>
          <w:rFonts w:ascii="Times New Roman" w:cs="Times New Roman" w:eastAsia="Times New Roman" w:hAnsi="Times New Roman"/>
          <w:sz w:val="22"/>
          <w:szCs w:val="22"/>
        </w:rPr>
        <w:t xml:space="preserve">200 random split halves per form, mean and 95% range. The values for person ordering are those of the form itself, so they differ from earlier versions of this table wherever the elimination step had removed an item: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89"/>
        <w:gridCol w:w="1289"/>
        <w:gridCol w:w="1289"/>
        <w:gridCol w:w="1289"/>
        <w:gridCol w:w="1289"/>
        <w:gridCol w:w="1289"/>
        <w:gridCol w:w="1292"/>
      </w:tblGrid>
      <w:tr>
        <w:trPr>
          <w:tblHeader/>
        </w:trPr>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Form</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k</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H mean</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H 95% range</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H^T mean</w:t>
            </w:r>
            <w:r>
              <w:rPr>
                <w:rFonts w:ascii="Times New Roman" w:cs="Times New Roman" w:eastAsia="Times New Roman" w:hAnsi="Times New Roman"/>
                <w:b/>
                <w:bCs/>
                <w:sz w:val="16"/>
                <w:szCs w:val="16"/>
                <w:vertAlign w:val="superscript"/>
              </w:rPr>
              <w:t xml:space="preserve"/>
            </w:r>
            <w:r>
              <w:rPr>
                <w:rFonts w:ascii="Times New Roman" w:cs="Times New Roman" w:eastAsia="Times New Roman" w:hAnsi="Times New Roman"/>
                <w:b/>
                <w:bCs/>
                <w:sz w:val="16"/>
                <w:szCs w:val="16"/>
              </w:rPr>
              <w:t xml:space="preserve"/>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H^T 95% range</w:t>
            </w:r>
            <w:r>
              <w:rPr>
                <w:rFonts w:ascii="Times New Roman" w:cs="Times New Roman" w:eastAsia="Times New Roman" w:hAnsi="Times New Roman"/>
                <w:b/>
                <w:bCs/>
                <w:sz w:val="16"/>
                <w:szCs w:val="16"/>
                <w:vertAlign w:val="superscript"/>
              </w:rPr>
              <w:t xml:space="preserve"/>
            </w:r>
            <w:r>
              <w:rPr>
                <w:rFonts w:ascii="Times New Roman" w:cs="Times New Roman" w:eastAsia="Times New Roman" w:hAnsi="Times New Roman"/>
                <w:b/>
                <w:bCs/>
                <w:sz w:val="16"/>
                <w:szCs w:val="16"/>
              </w:rPr>
              <w:t xml:space="preserve"/>
            </w:r>
          </w:p>
        </w:tc>
        <w:tc>
          <w:tcPr>
            <w:tcW w:type="dxa" w:w="129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Rho of item order between halves</w:t>
            </w:r>
          </w:p>
        </w:tc>
      </w:tr>
      <w:tr>
        <w:trPr>
          <w:tblHeader w:val="false"/>
        </w:trPr>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Selected five-item form</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0.597</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0.549–0.644</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0.507</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0.462–0.552</w:t>
            </w:r>
          </w:p>
        </w:tc>
        <w:tc>
          <w:tcPr>
            <w:tcW w:type="dxa" w:w="129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1.000</w:t>
            </w:r>
          </w:p>
        </w:tc>
      </w:tr>
      <w:tr>
        <w:trPr>
          <w:tblHeader w:val="false"/>
        </w:trPr>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Best six-item form</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0.601</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0.560–0.644</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0.503</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0.459–0.548</w:t>
            </w:r>
          </w:p>
        </w:tc>
        <w:tc>
          <w:tcPr>
            <w:tcW w:type="dxa" w:w="129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1.000</w:t>
            </w:r>
          </w:p>
        </w:tc>
      </w:tr>
      <w:tr>
        <w:trPr>
          <w:tblHeader w:val="false"/>
        </w:trPr>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Seven-item candidate</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0.602</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0.567–0.638</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0.451</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0.412–0.489</w:t>
            </w:r>
          </w:p>
        </w:tc>
        <w:tc>
          <w:tcPr>
            <w:tcW w:type="dxa" w:w="129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1.000</w:t>
            </w:r>
          </w:p>
        </w:tc>
      </w:tr>
      <w:tr>
        <w:trPr>
          <w:tblHeader w:val="false"/>
        </w:trPr>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Six items without emergencies and triage</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0.594</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0.553–0.633</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0.442</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0.403–0.481</w:t>
            </w:r>
          </w:p>
        </w:tc>
        <w:tc>
          <w:tcPr>
            <w:tcW w:type="dxa" w:w="129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0.999</w:t>
            </w:r>
          </w:p>
        </w:tc>
      </w:tr>
    </w:tbl>
    <w:p>
      <w:pPr>
        <w:spacing w:after="160"/>
      </w:pPr>
    </w:p>
    <w:p>
      <w:pPr>
        <w:spacing w:after="160" w:line="360"/>
      </w:pPr>
      <w:r>
        <w:rPr>
          <w:rFonts w:ascii="Times New Roman" w:cs="Times New Roman" w:eastAsia="Times New Roman" w:hAnsi="Times New Roman"/>
          <w:sz w:val="22"/>
          <w:szCs w:val="22"/>
        </w:rPr>
        <w:t xml:space="preserve">Separation of the four acceptance types by the short score: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28"/>
        <w:gridCol w:w="1128"/>
        <w:gridCol w:w="1128"/>
        <w:gridCol w:w="1128"/>
        <w:gridCol w:w="1128"/>
        <w:gridCol w:w="1128"/>
        <w:gridCol w:w="1128"/>
        <w:gridCol w:w="1130"/>
      </w:tblGrid>
      <w:tr>
        <w:trPr>
          <w:tblHeader/>
        </w:trPr>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Form</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k</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Mean class 1</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Mean class 2</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Mean class 3</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Mean class 4</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Correctly ordered extreme pairs</w:t>
            </w:r>
          </w:p>
        </w:tc>
        <w:tc>
          <w:tcPr>
            <w:tcW w:type="dxa" w:w="113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Rho with class membership</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Selected five-item form</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2.06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3.57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4.88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1.000</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0.851</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Best six-item form</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2.12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4.00</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5.86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1.000</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0.876</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Seven-item candidate</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2.36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4.72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6.86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1.000</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0.889</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Six items without emergencies and triage</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2.30</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4.29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5.88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1.000</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0.871</w:t>
            </w:r>
          </w:p>
        </w:tc>
      </w:tr>
    </w:tbl>
    <w:p>
      <w:pPr>
        <w:spacing w:after="160"/>
      </w:pPr>
    </w:p>
    <w:p>
      <w:pPr>
        <w:pStyle w:val="Heading2"/>
        <w:spacing w:after="140" w:before="240" w:line="360"/>
      </w:pPr>
      <w:r>
        <w:rPr>
          <w:rFonts w:ascii="Times New Roman" w:cs="Times New Roman" w:eastAsia="Times New Roman" w:hAnsi="Times New Roman"/>
          <w:b/>
          <w:bCs/>
          <w:sz w:val="22"/>
          <w:szCs w:val="22"/>
        </w:rPr>
        <w:t xml:space="preserve">7.4 Contribution of the two emergency items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28"/>
        <w:gridCol w:w="1128"/>
        <w:gridCol w:w="1128"/>
        <w:gridCol w:w="1128"/>
        <w:gridCol w:w="1128"/>
        <w:gridCol w:w="1128"/>
        <w:gridCol w:w="1128"/>
        <w:gridCol w:w="1130"/>
      </w:tblGrid>
      <w:tr>
        <w:trPr>
          <w:tblHeader/>
        </w:trPr>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Variant</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k</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Items</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H</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H</w:t>
            </w:r>
            <w:r>
              <w:rPr>
                <w:rFonts w:ascii="Times New Roman" w:cs="Times New Roman" w:eastAsia="Times New Roman" w:hAnsi="Times New Roman"/>
                <w:b/>
                <w:bCs/>
                <w:sz w:val="16"/>
                <w:szCs w:val="16"/>
                <w:vertAlign w:val="superscript"/>
              </w:rPr>
              <w:t xml:space="preserve">T</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Q3 max</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rho</w:t>
            </w:r>
          </w:p>
        </w:tc>
        <w:tc>
          <w:tcPr>
            <w:tcW w:type="dxa" w:w="113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Span</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both retained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014+008+016+006+007+009+010</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0.434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0.932</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without emergencies and triage</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014+008+016+006+007+010</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0.924</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without urgent decisions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014+008+016+006+007+009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0.393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0.207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0.921</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0.47</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without both</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014+008+016+006+007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0.315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0.894</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0.34</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without both, robotic surgery added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014+008+016+006+007+013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0.308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0.919</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0.39</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without both, nursing support added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014+008+016+006+007+012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0.328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0.925</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w:t>
            </w:r>
          </w:p>
        </w:tc>
      </w:tr>
    </w:tbl>
    <w:p>
      <w:pPr>
        <w:spacing w:after="160"/>
      </w:pPr>
    </w:p>
    <w:p>
      <w:pPr>
        <w:pStyle w:val="Heading2"/>
        <w:spacing w:after="140" w:before="240" w:line="360"/>
      </w:pPr>
      <w:r>
        <w:rPr>
          <w:rFonts w:ascii="Times New Roman" w:cs="Times New Roman" w:eastAsia="Times New Roman" w:hAnsi="Times New Roman"/>
          <w:b/>
          <w:bCs/>
          <w:sz w:val="22"/>
          <w:szCs w:val="22"/>
        </w:rPr>
        <w:t xml:space="preserve">7.5 Cross-validation of the selection procedure</w:t>
      </w:r>
    </w:p>
    <w:p>
      <w:pPr>
        <w:spacing w:after="160" w:line="360"/>
      </w:pPr>
      <w:r>
        <w:rPr>
          <w:rFonts w:ascii="Times New Roman" w:cs="Times New Roman" w:eastAsia="Times New Roman" w:hAnsi="Times New Roman"/>
          <w:sz w:val="22"/>
          <w:szCs w:val="22"/>
        </w:rPr>
        <w:t xml:space="preserve">Not the selected form but the procedure that produced it was cross-validated. In each of 200 random split halves the decision rule was applied afresh in one half and the resulting form evaluated in the other, in both directions, giving 400 selection-evaluation pairs. The rule used here constrains the largest centred Q3 to at most 0.20 and then maximises person ordering.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6"/>
      </w:tblGrid>
      <w:tr>
        <w:trPr>
          <w:tblHeader/>
        </w:trPr>
        <w:tc>
          <w:tcPr>
            <w:tcW w:type="dxa" w:w="1805"/>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Statistic</w:t>
            </w:r>
          </w:p>
        </w:tc>
        <w:tc>
          <w:tcPr>
            <w:tcW w:type="dxa" w:w="1805"/>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Selection half, mean</w:t>
            </w:r>
          </w:p>
        </w:tc>
        <w:tc>
          <w:tcPr>
            <w:tcW w:type="dxa" w:w="1805"/>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Selection half, 95% range</w:t>
            </w:r>
          </w:p>
        </w:tc>
        <w:tc>
          <w:tcPr>
            <w:tcW w:type="dxa" w:w="1805"/>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Evaluation half, mean</w:t>
            </w:r>
          </w:p>
        </w:tc>
        <w:tc>
          <w:tcPr>
            <w:tcW w:type="dxa" w:w="180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Evaluation half, 95% range</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Person ordering (H^T)</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0.545</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0.504–0.589</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0.518</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0.460–0.575</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Scalability (H)</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0.571</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0.486–0.669</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0.548</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0.468–0.640</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Largest centred Q3</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0.202</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0.097–0.315</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Rho with 16-item score</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0.866</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0.818–0.902</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Difficulty span</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0.518</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0.481–0.555</w:t>
            </w:r>
          </w:p>
        </w:tc>
      </w:tr>
    </w:tbl>
    <w:p>
      <w:pPr>
        <w:spacing w:after="160"/>
      </w:pPr>
    </w:p>
    <w:p>
      <w:pPr>
        <w:spacing w:after="160" w:line="360"/>
      </w:pPr>
      <w:r>
        <w:rPr>
          <w:rFonts w:ascii="Times New Roman" w:cs="Times New Roman" w:eastAsia="Times New Roman" w:hAnsi="Times New Roman"/>
          <w:sz w:val="22"/>
          <w:szCs w:val="22"/>
        </w:rPr>
        <w:t xml:space="preserve">The optimism of the selection, that is the mean difference between the value in the selection half and the value in the evaluation half, is 0.027 in person ordering. All 400 evaluations exceed the 0.267 of the full instrument and 99 per cent exceed 0.45; the reported value of 0.507 for the selected form is therefore not an artefact of selecting and evaluating in the same data.</w:t>
      </w:r>
    </w:p>
    <w:p>
      <w:pPr>
        <w:spacing w:after="160" w:line="360"/>
      </w:pPr>
      <w:r>
        <w:rPr>
          <w:rFonts w:ascii="Times New Roman" w:cs="Times New Roman" w:eastAsia="Times New Roman" w:hAnsi="Times New Roman"/>
          <w:sz w:val="22"/>
          <w:szCs w:val="22"/>
        </w:rPr>
        <w:t xml:space="preserve">The composition of the form is less firmly determined than its properties. The procedure returned 34 different five-item forms across the 400 half-samples, and the form adopted here once. Two items were selected almost without exception, automated medication reminders in 100 per cent of the half-samples and support in urgent decisions in 99.8 per cent. The remaining places were filled interchangeably, most often by appointment scheduling (77.2 per cent), analysis of clinical data (45.2), planning and coordination of treatment (40.2), nursing support (35.5), patient information through chatbots (30.2), management of the electronic health record (27.8) and risk assessment and prognosis (18.0). The anchors of the scale are thus empirically determined and the intermediate items are not, which is what one expects when many applications measure the same dimension with comparable quality. The intermediate items of the selected form were chosen on content grounds.</w:t>
      </w:r>
    </w:p>
    <w:p>
      <w:pPr>
        <w:pStyle w:val="Heading2"/>
        <w:spacing w:after="140" w:before="240" w:line="360"/>
      </w:pPr>
      <w:r>
        <w:rPr>
          <w:rFonts w:ascii="Times New Roman" w:cs="Times New Roman" w:eastAsia="Times New Roman" w:hAnsi="Times New Roman"/>
          <w:b/>
          <w:bCs/>
          <w:sz w:val="22"/>
          <w:szCs w:val="22"/>
        </w:rPr>
        <w:t xml:space="preserve">7.6 Properties of the selected five-item short form</w:t>
      </w:r>
    </w:p>
    <w:p>
      <w:pPr>
        <w:spacing w:after="160" w:line="360"/>
      </w:pPr>
      <w:r>
        <w:rPr>
          <w:rFonts w:ascii="Times New Roman" w:cs="Times New Roman" w:eastAsia="Times New Roman" w:hAnsi="Times New Roman"/>
          <w:sz w:val="22"/>
          <w:szCs w:val="22"/>
        </w:rPr>
        <w:t xml:space="preserve">Computed in the run of 9 August 2026 (</w:t>
      </w:r>
      <w:r>
        <w:rPr>
          <w:rFonts w:ascii="Consolas" w:cs="Consolas" w:eastAsia="Consolas" w:hAnsi="Consolas"/>
          <w:sz w:val="20"/>
          <w:szCs w:val="20"/>
        </w:rPr>
        <w:t xml:space="preserve">07_Kurzform_final.R</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rPr>
        <w:t xml:space="preserve">which reproduced H = 0.597, H</w:t>
      </w:r>
      <w:r>
        <w:rPr>
          <w:rFonts w:ascii="Times New Roman" w:cs="Times New Roman" w:eastAsia="Times New Roman" w:hAnsi="Times New Roman"/>
          <w:sz w:val="22"/>
          <w:szCs w:val="22"/>
          <w:vertAlign w:val="superscript"/>
        </w:rPr>
        <w:t xml:space="preserve">T</w:t>
      </w:r>
      <w:r>
        <w:rPr>
          <w:rFonts w:ascii="Times New Roman" w:cs="Times New Roman" w:eastAsia="Times New Roman" w:hAnsi="Times New Roman"/>
          <w:sz w:val="22"/>
          <w:szCs w:val="22"/>
        </w:rPr>
        <w:t xml:space="preserve"> = 0.507 and rho = 0.903 exactly.</w:t>
      </w:r>
    </w:p>
    <w:p>
      <w:pPr>
        <w:spacing w:after="160" w:line="360"/>
      </w:pPr>
      <w:r>
        <w:rPr>
          <w:rFonts w:ascii="Times New Roman" w:cs="Times New Roman" w:eastAsia="Times New Roman" w:hAnsi="Times New Roman"/>
          <w:b/>
          <w:bCs/>
          <w:sz w:val="22"/>
          <w:szCs w:val="22"/>
        </w:rPr>
        <w:t xml:space="preserve">Distribution of the sum score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89"/>
        <w:gridCol w:w="1289"/>
        <w:gridCol w:w="1289"/>
        <w:gridCol w:w="1289"/>
        <w:gridCol w:w="1289"/>
        <w:gridCol w:w="1289"/>
        <w:gridCol w:w="1292"/>
      </w:tblGrid>
      <w:tr>
        <w:trPr>
          <w:tblHeader/>
        </w:trPr>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Form</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Mean</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SD</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Median</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Min</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Max</w:t>
            </w:r>
          </w:p>
        </w:tc>
        <w:tc>
          <w:tcPr>
            <w:tcW w:type="dxa" w:w="129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Weighted mean (SE)</w:t>
            </w:r>
          </w:p>
        </w:tc>
      </w:tr>
      <w:tr>
        <w:trPr>
          <w:tblHeader w:val="false"/>
        </w:trPr>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16-item instrument</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8.46</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4.77</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16</w:t>
            </w:r>
          </w:p>
        </w:tc>
        <w:tc>
          <w:tcPr>
            <w:tcW w:type="dxa" w:w="129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8.43 (0.161)</w:t>
            </w:r>
          </w:p>
        </w:tc>
      </w:tr>
      <w:tr>
        <w:trPr>
          <w:tblHeader w:val="false"/>
        </w:trPr>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Five-item short form</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2.83</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1.61</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29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2.81 (0.055)</w:t>
            </w:r>
          </w:p>
        </w:tc>
      </w:tr>
    </w:tbl>
    <w:p>
      <w:pPr>
        <w:spacing w:after="160"/>
      </w:pPr>
    </w:p>
    <w:p>
      <w:pPr>
        <w:spacing w:after="160" w:line="360"/>
      </w:pPr>
      <w:r>
        <w:rPr>
          <w:rFonts w:ascii="Times New Roman" w:cs="Times New Roman" w:eastAsia="Times New Roman" w:hAnsi="Times New Roman"/>
          <w:sz w:val="22"/>
          <w:szCs w:val="22"/>
        </w:rPr>
        <w:t xml:space="preserve">Frequency distribution of the short score, unweighted (weighted percentages in the run log): 0 = 112 (12.4%); 1 = 90 (10%); 2 = 157 (17.4%); 3 = 186 (20.6%); 4 = 192 (21.3%); 5 = 164 (18.2%). The score uses its full range and no category is sparse.</w:t>
      </w:r>
    </w:p>
    <w:p>
      <w:pPr>
        <w:spacing w:after="160" w:line="360"/>
      </w:pPr>
      <w:r>
        <w:rPr>
          <w:rFonts w:ascii="Times New Roman" w:cs="Times New Roman" w:eastAsia="Times New Roman" w:hAnsi="Times New Roman"/>
          <w:b/>
          <w:bCs/>
          <w:sz w:val="22"/>
          <w:szCs w:val="22"/>
        </w:rPr>
        <w:t xml:space="preserve">Conversion to the 16-item score</w:t>
      </w:r>
    </w:p>
    <w:p>
      <w:pPr>
        <w:spacing w:after="160" w:line="360"/>
      </w:pPr>
      <w:r>
        <w:rPr>
          <w:rFonts w:ascii="Times New Roman" w:cs="Times New Roman" w:eastAsia="Times New Roman" w:hAnsi="Times New Roman"/>
          <w:sz w:val="22"/>
          <w:szCs w:val="22"/>
        </w:rPr>
        <w:t xml:space="preserve">Regression: score16 = 0.82 + 2.70 × score5, R² = 0.836, residual standard error 1.93 points. Pearson correlation 0.914, Spearman 0.903. The table below shows the dispersion the regression conceals; conversion is adequate at group level but not for individual respondents.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89"/>
        <w:gridCol w:w="1289"/>
        <w:gridCol w:w="1289"/>
        <w:gridCol w:w="1289"/>
        <w:gridCol w:w="1289"/>
        <w:gridCol w:w="1289"/>
        <w:gridCol w:w="1292"/>
      </w:tblGrid>
      <w:tr>
        <w:trPr>
          <w:tblHeader/>
        </w:trPr>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Five-item score</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n</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Mean 16-item score</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SD</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Median</w:t>
            </w:r>
          </w:p>
        </w:tc>
        <w:tc>
          <w:tcPr>
            <w:tcW w:type="dxa" w:w="1289"/>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P25</w:t>
            </w:r>
          </w:p>
        </w:tc>
        <w:tc>
          <w:tcPr>
            <w:tcW w:type="dxa" w:w="1292"/>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P75</w:t>
            </w:r>
          </w:p>
        </w:tc>
      </w:tr>
      <w:tr>
        <w:trPr>
          <w:tblHeader w:val="false"/>
        </w:trPr>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112</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0.38</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0.85</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29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r>
      <w:tr>
        <w:trPr>
          <w:tblHeader w:val="false"/>
        </w:trPr>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90</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3.82</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1.95</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3.5</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w:t>
            </w:r>
          </w:p>
        </w:tc>
        <w:tc>
          <w:tcPr>
            <w:tcW w:type="dxa" w:w="129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r>
      <w:tr>
        <w:trPr>
          <w:tblHeader w:val="false"/>
        </w:trPr>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157</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6.75</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2.16</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29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w:t>
            </w:r>
          </w:p>
        </w:tc>
      </w:tr>
      <w:tr>
        <w:trPr>
          <w:tblHeader w:val="false"/>
        </w:trPr>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186</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8.73</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2.18</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w:t>
            </w:r>
          </w:p>
        </w:tc>
        <w:tc>
          <w:tcPr>
            <w:tcW w:type="dxa" w:w="129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w:t>
            </w:r>
          </w:p>
        </w:tc>
      </w:tr>
      <w:tr>
        <w:trPr>
          <w:tblHeader w:val="false"/>
        </w:trPr>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192</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11.39</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1.96</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w:t>
            </w:r>
          </w:p>
        </w:tc>
        <w:tc>
          <w:tcPr>
            <w:tcW w:type="dxa" w:w="129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13</w:t>
            </w:r>
          </w:p>
        </w:tc>
      </w:tr>
      <w:tr>
        <w:trPr>
          <w:tblHeader w:val="false"/>
        </w:trPr>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164</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14.41</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1.76</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15</w:t>
            </w:r>
          </w:p>
        </w:tc>
        <w:tc>
          <w:tcPr>
            <w:tcW w:type="dxa" w:w="1289"/>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13</w:t>
            </w:r>
          </w:p>
        </w:tc>
        <w:tc>
          <w:tcPr>
            <w:tcW w:type="dxa" w:w="1292"/>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16</w:t>
            </w:r>
          </w:p>
        </w:tc>
      </w:tr>
    </w:tbl>
    <w:p>
      <w:pPr>
        <w:spacing w:after="160"/>
      </w:pPr>
    </w:p>
    <w:p>
      <w:pPr>
        <w:spacing w:after="160" w:line="360"/>
      </w:pPr>
      <w:r>
        <w:rPr>
          <w:rFonts w:ascii="Times New Roman" w:cs="Times New Roman" w:eastAsia="Times New Roman" w:hAnsi="Times New Roman"/>
          <w:b/>
          <w:bCs/>
          <w:sz w:val="22"/>
          <w:szCs w:val="22"/>
        </w:rPr>
        <w:t xml:space="preserve">Internal consistency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6"/>
      </w:tblGrid>
      <w:tr>
        <w:trPr>
          <w:tblHeader/>
        </w:trPr>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Form</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Cronbach alpha</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Molenaar-Sijtsma rho</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Guttman lambda-2</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H</w:t>
            </w:r>
          </w:p>
        </w:tc>
        <w:tc>
          <w:tcPr>
            <w:tcW w:type="dxa" w:w="150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H^T</w:t>
            </w:r>
            <w:r>
              <w:rPr>
                <w:rFonts w:ascii="Times New Roman" w:cs="Times New Roman" w:eastAsia="Times New Roman" w:hAnsi="Times New Roman"/>
                <w:b/>
                <w:bCs/>
                <w:sz w:val="16"/>
                <w:szCs w:val="16"/>
                <w:vertAlign w:val="superscript"/>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16-item instrument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0.895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0.897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0.491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0.267</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Five-item short form</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0.738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0.763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0.744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0.507</w:t>
            </w:r>
          </w:p>
        </w:tc>
      </w:tr>
    </w:tbl>
    <w:p>
      <w:pPr>
        <w:spacing w:after="160"/>
      </w:pPr>
    </w:p>
    <w:p>
      <w:pPr>
        <w:spacing w:after="160" w:line="360"/>
      </w:pPr>
      <w:r>
        <w:rPr>
          <w:rFonts w:ascii="Times New Roman" w:cs="Times New Roman" w:eastAsia="Times New Roman" w:hAnsi="Times New Roman"/>
          <w:sz w:val="22"/>
          <w:szCs w:val="22"/>
        </w:rPr>
        <w:t xml:space="preserve">Alpha assumes tau-equivalence, which a Mokken scale does not impose; the Molenaar-Sijtsma statistic is the corresponding quantity for nonparametric item response models. The gap between the two is 0.025 for the short form and 0.012 for the full instrument, so the assumption is only mildly violated here.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6"/>
      </w:tblGrid>
      <w:tr>
        <w:trPr>
          <w:tblHeader/>
        </w:trPr>
        <w:tc>
          <w:tcPr>
            <w:tcW w:type="dxa" w:w="1805"/>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Item</w:t>
            </w:r>
          </w:p>
        </w:tc>
        <w:tc>
          <w:tcPr>
            <w:tcW w:type="dxa" w:w="1805"/>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Application</w:t>
            </w:r>
          </w:p>
        </w:tc>
        <w:tc>
          <w:tcPr>
            <w:tcW w:type="dxa" w:w="1805"/>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Acceptance</w:t>
            </w:r>
          </w:p>
        </w:tc>
        <w:tc>
          <w:tcPr>
            <w:tcW w:type="dxa" w:w="1805"/>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Item-rest correlation</w:t>
            </w:r>
          </w:p>
        </w:tc>
        <w:tc>
          <w:tcPr>
            <w:tcW w:type="dxa" w:w="180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Alpha if item removed</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E4_SQ014</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0.462</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0.707</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E4_SQ008</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0.668</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0.593</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0.656</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E4_SQ016</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0.624</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0.491</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0.696</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E4_SQ007</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0.456</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0.542</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0.676</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E4_SQ010</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0.282</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0.721</w:t>
            </w:r>
          </w:p>
        </w:tc>
      </w:tr>
    </w:tbl>
    <w:p>
      <w:pPr>
        <w:spacing w:after="160"/>
      </w:pPr>
    </w:p>
    <w:p>
      <w:pPr>
        <w:spacing w:after="160" w:line="360"/>
      </w:pPr>
      <w:r>
        <w:rPr>
          <w:rFonts w:ascii="Times New Roman" w:cs="Times New Roman" w:eastAsia="Times New Roman" w:hAnsi="Times New Roman"/>
          <w:sz w:val="22"/>
          <w:szCs w:val="22"/>
        </w:rPr>
        <w:t xml:space="preserve">Removing any single item lowers alpha below its value of 0.738 for the complete short form, so no item is redundant. The lowest item-rest correlation belongs to support in urgent decisions, the most difficult item, which is expected in a cumulative scale and is the price of covering the difficult end of the range.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Times New Roman" w:cs="Times New Roman" w:eastAsia="Times New Roman" w:hAnsi="Times New Roman"/>
        <w:color w:val="5a5a5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2 — manuscript draft</dc:title>
  <dc:creator>ASTAT KI Gesundheitsversorgung 2026</dc:creator>
  <cp:lastModifiedBy>Un-named</cp:lastModifiedBy>
  <cp:revision>1</cp:revision>
  <dcterms:created xsi:type="dcterms:W3CDTF">2026-08-09T14:52:36.590Z</dcterms:created>
  <dcterms:modified xsi:type="dcterms:W3CDTF">2026-08-09T14:52:36.590Z</dcterms:modified>
</cp:coreProperties>
</file>

<file path=docProps/custom.xml><?xml version="1.0" encoding="utf-8"?>
<Properties xmlns="http://schemas.openxmlformats.org/officeDocument/2006/custom-properties" xmlns:vt="http://schemas.openxmlformats.org/officeDocument/2006/docPropsVTypes"/>
</file>