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line="360"/>
      </w:pPr>
      <w:r>
        <w:rPr>
          <w:rFonts w:ascii="Times New Roman" w:cs="Times New Roman" w:eastAsia="Times New Roman" w:hAnsi="Times New Roman"/>
          <w:sz w:val="26"/>
          <w:szCs w:val="26"/>
        </w:rPr>
        <w:t xml:space="preserve">Additional file 1</w:t>
      </w:r>
    </w:p>
    <w:p>
      <w:pPr>
        <w:pStyle w:val="Heading2"/>
        <w:spacing w:after="160" w:line="360"/>
      </w:pPr>
      <w:r>
        <w:rPr>
          <w:rFonts w:ascii="Times New Roman" w:cs="Times New Roman" w:eastAsia="Times New Roman" w:hAnsi="Times New Roman"/>
          <w:sz w:val="24"/>
          <w:szCs w:val="24"/>
        </w:rPr>
        <w:t xml:space="preserve">Completed COSMIN reporting guideline checklist</w:t>
      </w:r>
    </w:p>
    <w:p>
      <w:pPr>
        <w:spacing w:after="160" w:line="360"/>
      </w:pPr>
      <w:r>
        <w:rPr>
          <w:rFonts w:ascii="Times New Roman" w:cs="Times New Roman" w:eastAsia="Times New Roman" w:hAnsi="Times New Roman"/>
          <w:i/>
          <w:iCs/>
          <w:sz w:val="22"/>
          <w:szCs w:val="22"/>
        </w:rPr>
        <w:t xml:space="preserve">Public acceptance of artificial intelligence in health care: a cumulative hierarchy in a 16-item instrument, German–Italian measurement equivalence, and a five-item short form</w:t>
      </w:r>
    </w:p>
    <w:p>
      <w:pPr>
        <w:spacing w:after="160" w:line="360"/>
      </w:pPr>
      <w:r>
        <w:rPr>
          <w:rFonts w:ascii="Times New Roman" w:cs="Times New Roman" w:eastAsia="Times New Roman" w:hAnsi="Times New Roman"/>
          <w:sz w:val="20"/>
          <w:szCs w:val="20"/>
        </w:rPr>
        <w:t xml:space="preserve">All values were computed in R 4.5.1 on 9 August 2026 and are reproduced here unchanged from the analysis output files. Decimal separators have been converted from comma to point; no value has been recomputed, rounded further or derived. The complete analysis code is provided as Additional file 3.</w:t>
      </w:r>
    </w:p>
    <w:p>
      <w:pPr>
        <w:spacing w:after="160" w:line="360"/>
      </w:pPr>
      <w:r>
        <w:rPr>
          <w:rFonts w:ascii="Times New Roman" w:cs="Times New Roman" w:eastAsia="Times New Roman" w:hAnsi="Times New Roman"/>
          <w:b w:val="false"/>
          <w:bCs w:val="false"/>
          <w:i w:val="false"/>
          <w:iCs w:val="false"/>
          <w:sz w:val="22"/>
          <w:szCs w:val="22"/>
        </w:rPr>
        <w:t xml:space="preserve">The checklist follows the COSMIN reporting guideline for studies on measurement properties. The guideline was written for patient-reported outcome measures; the instrument studied here is an attitude measure administered in a general population survey rather than a patient-reported outcome measure, and the items are therefore read as applying to the instrument and its respondents. Items that cannot apply to a cross-sectional study of a single administration are listed at the end with the reason. Where an item is only partly met, the entry says so; nothing is recorded as met that is not.</w:t>
      </w:r>
    </w:p>
    <w:p>
      <w:pPr>
        <w:spacing w:after="160" w:line="360"/>
      </w:pPr>
      <w:r>
        <w:rPr>
          <w:rFonts w:ascii="Times New Roman" w:cs="Times New Roman" w:eastAsia="Times New Roman" w:hAnsi="Times New Roman"/>
          <w:b w:val="false"/>
          <w:bCs w:val="false"/>
          <w:i w:val="false"/>
          <w:iCs w:val="false"/>
          <w:sz w:val="22"/>
          <w:szCs w:val="22"/>
        </w:rPr>
        <w:t xml:space="preserve">The wording in the second column condenses the guideline items; the authoritative wording is that of the guideline itself.</w:t>
      </w:r>
    </w:p>
    <w:p>
      <w:pPr>
        <w:spacing w:after="160" w:line="360"/>
      </w:pPr>
      <w:r>
        <w:rPr>
          <w:rFonts w:ascii="Times New Roman" w:cs="Times New Roman" w:eastAsia="Times New Roman" w:hAnsi="Times New Roman"/>
          <w:b w:val="false"/>
          <w:bCs w:val="false"/>
          <w:i/>
          <w:iCs/>
          <w:sz w:val="22"/>
          <w:szCs w:val="22"/>
        </w:rPr>
        <w:t xml:space="preserve">[LÜCKE: Der Abgleich folgt der Fassung von 2021 (Gagnier JJ, Lai J, Mokkink LB, Terwee CB. Qual Life Res. 2021;30:2197–2218). Im März 2025 ist Version 2.0 erschienen (Gagnier JJ, de Arruda GT, Terwee CB, Mokkink LB. Qual Life Res. 2025;34(7):1901–1911, doi:10.1007/s11136-025-03950-x) mit 68 statt der hier verwendeten Items. Beide Zitationen sind gegen die Verlagsseite geprüft. Vor der Einreichung ist zu entscheiden, ob gegen Version 2.0 abgeglichen wird; die Zuordnungen in der Spalte "Where it is reported" bleiben davon unberührt, die Itemnummern ändern sich.]</w:t>
      </w:r>
    </w:p>
    <w:p>
      <w:pPr>
        <w:pStyle w:val="Heading2"/>
        <w:spacing w:after="140" w:before="240" w:line="360"/>
      </w:pPr>
      <w:r>
        <w:rPr>
          <w:rFonts w:ascii="Times New Roman" w:cs="Times New Roman" w:eastAsia="Times New Roman" w:hAnsi="Times New Roman"/>
          <w:b/>
          <w:bCs/>
          <w:sz w:val="22"/>
          <w:szCs w:val="22"/>
        </w:rPr>
        <w:t xml:space="preserve">General items</w:t>
      </w:r>
    </w:p>
    <w:tbl>
      <w:tblPr>
        <w:tblW w:type="dxa" w:w="9026"/>
        <w:tblBorders>
          <w:top w:val="single" w:color="888888" w:sz="4"/>
          <w:left w:val="none"/>
          <w:bottom w:val="single" w:color="888888" w:sz="4"/>
          <w:right w:val="none"/>
          <w:insideH w:val="single" w:color="CCCCCC" w:sz="2"/>
          <w:insideV w:val="none"/>
        </w:tblBorders>
      </w:tblPr>
      <w:tblGrid>
        <w:gridCol w:w="820"/>
        <w:gridCol w:w="3000"/>
        <w:gridCol w:w="2300"/>
        <w:gridCol w:w="2906"/>
      </w:tblGrid>
      <w:tr>
        <w:trPr>
          <w:tblHeader/>
        </w:trPr>
        <w:tc>
          <w:tcPr>
            <w:tcW w:type="dxa" w:w="820"/>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20"/>
                <w:szCs w:val="20"/>
              </w:rPr>
              <w:t xml:space="preserve">Item</w:t>
            </w:r>
          </w:p>
        </w:tc>
        <w:tc>
          <w:tcPr>
            <w:tcW w:type="dxa" w:w="3000"/>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20"/>
                <w:szCs w:val="20"/>
              </w:rPr>
              <w:t xml:space="preserve">What the guideline asks for</w:t>
            </w:r>
          </w:p>
        </w:tc>
        <w:tc>
          <w:tcPr>
            <w:tcW w:type="dxa" w:w="2300"/>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20"/>
                <w:szCs w:val="20"/>
              </w:rPr>
              <w:t xml:space="preserve">Where it is reported</w:t>
            </w:r>
          </w:p>
        </w:tc>
        <w:tc>
          <w:tcPr>
            <w:tcW w:type="dxa" w:w="2906"/>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20"/>
                <w:szCs w:val="20"/>
              </w:rPr>
              <w:t xml:space="preserve">Notes</w:t>
            </w:r>
          </w:p>
        </w:tc>
      </w:tr>
      <w:tr>
        <w:trPr>
          <w:tblHeader w:val="false"/>
        </w:trPr>
        <w:tc>
          <w:tcPr>
            <w:tcW w:type="dxa" w:w="82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T1</w:t>
            </w:r>
          </w:p>
        </w:tc>
        <w:tc>
          <w:tcPr>
            <w:tcW w:type="dxa" w:w="300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Name and version of the instrument studied</w:t>
            </w:r>
          </w:p>
        </w:tc>
        <w:tc>
          <w:tcPr>
            <w:tcW w:type="dxa" w:w="230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Title; Methods, “The 16-item acceptance instrument and its two language versions”</w:t>
            </w:r>
          </w:p>
        </w:tc>
        <w:tc>
          <w:tcPr>
            <w:tcW w:type="dxa" w:w="2906"/>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The instrument has no proper name and no version numbering. The title identifies it as a 16-item instrument; the Methods give its content, its two language versions and its provenance.</w:t>
            </w:r>
          </w:p>
        </w:tc>
      </w:tr>
      <w:tr>
        <w:trPr>
          <w:tblHeader w:val="false"/>
        </w:trPr>
        <w:tc>
          <w:tcPr>
            <w:tcW w:type="dxa" w:w="82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T2</w:t>
            </w:r>
          </w:p>
        </w:tc>
        <w:tc>
          <w:tcPr>
            <w:tcW w:type="dxa" w:w="300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Which measurement properties are studied</w:t>
            </w:r>
          </w:p>
        </w:tc>
        <w:tc>
          <w:tcPr>
            <w:tcW w:type="dxa" w:w="230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Title</w:t>
            </w:r>
          </w:p>
        </w:tc>
        <w:tc>
          <w:tcPr>
            <w:tcW w:type="dxa" w:w="2906"/>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Cumulative structure, measurement equivalence between the German and the Italian version, short form.</w:t>
            </w:r>
          </w:p>
        </w:tc>
      </w:tr>
      <w:tr>
        <w:trPr>
          <w:tblHeader w:val="false"/>
        </w:trPr>
        <w:tc>
          <w:tcPr>
            <w:tcW w:type="dxa" w:w="82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T3</w:t>
            </w:r>
          </w:p>
        </w:tc>
        <w:tc>
          <w:tcPr>
            <w:tcW w:type="dxa" w:w="300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General description of the study sample</w:t>
            </w:r>
          </w:p>
        </w:tc>
        <w:tc>
          <w:tcPr>
            <w:tcW w:type="dxa" w:w="230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Title; Abstract and Methods, “Study design and sample”</w:t>
            </w:r>
          </w:p>
        </w:tc>
        <w:tc>
          <w:tcPr>
            <w:tcW w:type="dxa" w:w="2906"/>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Partly. The title names the two language groups but does not otherwise describe the sample; the sample is described in the first sentence of the abstract and in the Methods.</w:t>
            </w:r>
          </w:p>
        </w:tc>
      </w:tr>
      <w:tr>
        <w:trPr>
          <w:tblHeader w:val="false"/>
        </w:trPr>
        <w:tc>
          <w:tcPr>
            <w:tcW w:type="dxa" w:w="82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A1</w:t>
            </w:r>
          </w:p>
        </w:tc>
        <w:tc>
          <w:tcPr>
            <w:tcW w:type="dxa" w:w="300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Name and version of the instrument</w:t>
            </w:r>
          </w:p>
        </w:tc>
        <w:tc>
          <w:tcPr>
            <w:tcW w:type="dxa" w:w="230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Abstract, Methods</w:t>
            </w:r>
          </w:p>
        </w:tc>
        <w:tc>
          <w:tcPr>
            <w:tcW w:type="dxa" w:w="2906"/>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As for T1.</w:t>
            </w:r>
          </w:p>
        </w:tc>
      </w:tr>
      <w:tr>
        <w:trPr>
          <w:tblHeader w:val="false"/>
        </w:trPr>
        <w:tc>
          <w:tcPr>
            <w:tcW w:type="dxa" w:w="82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A2</w:t>
            </w:r>
          </w:p>
        </w:tc>
        <w:tc>
          <w:tcPr>
            <w:tcW w:type="dxa" w:w="300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Which measurement properties are studied</w:t>
            </w:r>
          </w:p>
        </w:tc>
        <w:tc>
          <w:tcPr>
            <w:tcW w:type="dxa" w:w="230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Abstract, Methods and Results</w:t>
            </w:r>
          </w:p>
        </w:tc>
        <w:tc>
          <w:tcPr>
            <w:tcW w:type="dxa" w:w="2906"/>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
            </w:r>
          </w:p>
        </w:tc>
      </w:tr>
      <w:tr>
        <w:trPr>
          <w:tblHeader w:val="false"/>
        </w:trPr>
        <w:tc>
          <w:tcPr>
            <w:tcW w:type="dxa" w:w="82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A3</w:t>
            </w:r>
          </w:p>
        </w:tc>
        <w:tc>
          <w:tcPr>
            <w:tcW w:type="dxa" w:w="300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Type of study design</w:t>
            </w:r>
          </w:p>
        </w:tc>
        <w:tc>
          <w:tcPr>
            <w:tcW w:type="dxa" w:w="230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Abstract, Methods</w:t>
            </w:r>
          </w:p>
        </w:tc>
        <w:tc>
          <w:tcPr>
            <w:tcW w:type="dxa" w:w="2906"/>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Single wave of a probabilistic panel; no repeated administration.</w:t>
            </w:r>
          </w:p>
        </w:tc>
      </w:tr>
      <w:tr>
        <w:trPr>
          <w:tblHeader w:val="false"/>
        </w:trPr>
        <w:tc>
          <w:tcPr>
            <w:tcW w:type="dxa" w:w="82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A4</w:t>
            </w:r>
          </w:p>
        </w:tc>
        <w:tc>
          <w:tcPr>
            <w:tcW w:type="dxa" w:w="300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Inclusion and exclusion criteria, sample characteristics</w:t>
            </w:r>
          </w:p>
        </w:tc>
        <w:tc>
          <w:tcPr>
            <w:tcW w:type="dxa" w:w="230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Abstract, Methods</w:t>
            </w:r>
          </w:p>
        </w:tc>
        <w:tc>
          <w:tcPr>
            <w:tcW w:type="dxa" w:w="2906"/>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N = 901; the full sample of the wave is analysed.</w:t>
            </w:r>
          </w:p>
        </w:tc>
      </w:tr>
      <w:tr>
        <w:trPr>
          <w:tblHeader w:val="false"/>
        </w:trPr>
        <w:tc>
          <w:tcPr>
            <w:tcW w:type="dxa" w:w="82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A5</w:t>
            </w:r>
          </w:p>
        </w:tc>
        <w:tc>
          <w:tcPr>
            <w:tcW w:type="dxa" w:w="300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Brief description of the methods for each property</w:t>
            </w:r>
          </w:p>
        </w:tc>
        <w:tc>
          <w:tcPr>
            <w:tcW w:type="dxa" w:w="230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Abstract, Methods</w:t>
            </w:r>
          </w:p>
        </w:tc>
        <w:tc>
          <w:tcPr>
            <w:tcW w:type="dxa" w:w="2906"/>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
            </w:r>
          </w:p>
        </w:tc>
      </w:tr>
      <w:tr>
        <w:trPr>
          <w:tblHeader w:val="false"/>
        </w:trPr>
        <w:tc>
          <w:tcPr>
            <w:tcW w:type="dxa" w:w="82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A6</w:t>
            </w:r>
          </w:p>
        </w:tc>
        <w:tc>
          <w:tcPr>
            <w:tcW w:type="dxa" w:w="300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Main results for each property with statistics</w:t>
            </w:r>
          </w:p>
        </w:tc>
        <w:tc>
          <w:tcPr>
            <w:tcW w:type="dxa" w:w="230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Abstract, Results</w:t>
            </w:r>
          </w:p>
        </w:tc>
        <w:tc>
          <w:tcPr>
            <w:tcW w:type="dxa" w:w="2906"/>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
            </w:r>
          </w:p>
        </w:tc>
      </w:tr>
      <w:tr>
        <w:trPr>
          <w:tblHeader w:val="false"/>
        </w:trPr>
        <w:tc>
          <w:tcPr>
            <w:tcW w:type="dxa" w:w="82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A7</w:t>
            </w:r>
          </w:p>
        </w:tc>
        <w:tc>
          <w:tcPr>
            <w:tcW w:type="dxa" w:w="300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Results in context, main strengths and drawbacks</w:t>
            </w:r>
          </w:p>
        </w:tc>
        <w:tc>
          <w:tcPr>
            <w:tcW w:type="dxa" w:w="230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Abstract, Conclusions</w:t>
            </w:r>
          </w:p>
        </w:tc>
        <w:tc>
          <w:tcPr>
            <w:tcW w:type="dxa" w:w="2906"/>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Partly. The abstract states the conclusions and the limits of the ordering claim; strengths and drawbacks are set out in the Discussion and Limitations rather than in the abstract, for reasons of length.</w:t>
            </w:r>
          </w:p>
        </w:tc>
      </w:tr>
      <w:tr>
        <w:trPr>
          <w:tblHeader w:val="false"/>
        </w:trPr>
        <w:tc>
          <w:tcPr>
            <w:tcW w:type="dxa" w:w="82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I1</w:t>
            </w:r>
          </w:p>
        </w:tc>
        <w:tc>
          <w:tcPr>
            <w:tcW w:type="dxa" w:w="300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Name, type, language and version of the instrument</w:t>
            </w:r>
          </w:p>
        </w:tc>
        <w:tc>
          <w:tcPr>
            <w:tcW w:type="dxa" w:w="230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Methods, “The 16-item acceptance instrument and its two language versions”; Additional file 2</w:t>
            </w:r>
          </w:p>
        </w:tc>
        <w:tc>
          <w:tcPr>
            <w:tcW w:type="dxa" w:w="2906"/>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Parallel German and Italian versions, item-by-item comparison in Additional file 2.</w:t>
            </w:r>
          </w:p>
        </w:tc>
      </w:tr>
      <w:tr>
        <w:trPr>
          <w:tblHeader w:val="false"/>
        </w:trPr>
        <w:tc>
          <w:tcPr>
            <w:tcW w:type="dxa" w:w="82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I2</w:t>
            </w:r>
          </w:p>
        </w:tc>
        <w:tc>
          <w:tcPr>
            <w:tcW w:type="dxa" w:w="300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Target population the instrument was designed for</w:t>
            </w:r>
          </w:p>
        </w:tc>
        <w:tc>
          <w:tcPr>
            <w:tcW w:type="dxa" w:w="230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Methods, “Study design and sample”</w:t>
            </w:r>
          </w:p>
        </w:tc>
        <w:tc>
          <w:tcPr>
            <w:tcW w:type="dxa" w:w="2906"/>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Adult resident population of the Autonomous Province of Bolzano-South Tyrol.</w:t>
            </w:r>
          </w:p>
        </w:tc>
      </w:tr>
      <w:tr>
        <w:trPr>
          <w:tblHeader w:val="false"/>
        </w:trPr>
        <w:tc>
          <w:tcPr>
            <w:tcW w:type="dxa" w:w="82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I3</w:t>
            </w:r>
          </w:p>
        </w:tc>
        <w:tc>
          <w:tcPr>
            <w:tcW w:type="dxa" w:w="300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Citation of the original development paper</w:t>
            </w:r>
          </w:p>
        </w:tc>
        <w:tc>
          <w:tcPr>
            <w:tcW w:type="dxa" w:w="230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Methods, “The 16-item acceptance instrument and its two language versions”; references [1] and [2] and the source survey</w:t>
            </w:r>
          </w:p>
        </w:tc>
        <w:tc>
          <w:tcPr>
            <w:tcW w:type="dxa" w:w="2906"/>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There is no development or validation paper for this instrument. The 16 applications were adapted from the corresponding block of a population survey conducted in Germany within the HeReCa panel; they were not written for this wave. The development process is described in the Methods, and the full instrument in both languages is published with the prevalence study.</w:t>
            </w:r>
          </w:p>
        </w:tc>
      </w:tr>
      <w:tr>
        <w:trPr>
          <w:tblHeader w:val="false"/>
        </w:trPr>
        <w:tc>
          <w:tcPr>
            <w:tcW w:type="dxa" w:w="82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I4</w:t>
            </w:r>
          </w:p>
        </w:tc>
        <w:tc>
          <w:tcPr>
            <w:tcW w:type="dxa" w:w="300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Current knowledge on the measurement properties</w:t>
            </w:r>
          </w:p>
        </w:tc>
        <w:tc>
          <w:tcPr>
            <w:tcW w:type="dxa" w:w="230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Background, reference [1]</w:t>
            </w:r>
          </w:p>
        </w:tc>
        <w:tc>
          <w:tcPr>
            <w:tcW w:type="dxa" w:w="2906"/>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The scoping review establishes that no evidence on measurement properties exists for this field in Italy.</w:t>
            </w:r>
          </w:p>
        </w:tc>
      </w:tr>
      <w:tr>
        <w:trPr>
          <w:tblHeader w:val="false"/>
        </w:trPr>
        <w:tc>
          <w:tcPr>
            <w:tcW w:type="dxa" w:w="82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I5</w:t>
            </w:r>
          </w:p>
        </w:tc>
        <w:tc>
          <w:tcPr>
            <w:tcW w:type="dxa" w:w="300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Specialised terms defined or explained</w:t>
            </w:r>
          </w:p>
        </w:tc>
        <w:tc>
          <w:tcPr>
            <w:tcW w:type="dxa" w:w="230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Background and Methods</w:t>
            </w:r>
          </w:p>
        </w:tc>
        <w:tc>
          <w:tcPr>
            <w:tcW w:type="dxa" w:w="2906"/>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Monotone homogeneity, double monotonicity, invariant item ordering, differential item functioning.</w:t>
            </w:r>
          </w:p>
        </w:tc>
      </w:tr>
      <w:tr>
        <w:trPr>
          <w:tblHeader w:val="false"/>
        </w:trPr>
        <w:tc>
          <w:tcPr>
            <w:tcW w:type="dxa" w:w="82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I6</w:t>
            </w:r>
          </w:p>
        </w:tc>
        <w:tc>
          <w:tcPr>
            <w:tcW w:type="dxa" w:w="300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Objectives and hypotheses</w:t>
            </w:r>
          </w:p>
        </w:tc>
        <w:tc>
          <w:tcPr>
            <w:tcW w:type="dxa" w:w="230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Background, final paragraph</w:t>
            </w:r>
          </w:p>
        </w:tc>
        <w:tc>
          <w:tcPr>
            <w:tcW w:type="dxa" w:w="2906"/>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Three questions and one exploratory question. Directional hypotheses were not formulated in advance; this is stated in the Methods for the short-form decision rule.</w:t>
            </w:r>
          </w:p>
        </w:tc>
      </w:tr>
      <w:tr>
        <w:trPr>
          <w:tblHeader w:val="false"/>
        </w:trPr>
        <w:tc>
          <w:tcPr>
            <w:tcW w:type="dxa" w:w="82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GM1</w:t>
            </w:r>
          </w:p>
        </w:tc>
        <w:tc>
          <w:tcPr>
            <w:tcW w:type="dxa" w:w="300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Key elements of the study design</w:t>
            </w:r>
          </w:p>
        </w:tc>
        <w:tc>
          <w:tcPr>
            <w:tcW w:type="dxa" w:w="230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Methods, “Study design and sample”</w:t>
            </w:r>
          </w:p>
        </w:tc>
        <w:tc>
          <w:tcPr>
            <w:tcW w:type="dxa" w:w="2906"/>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
            </w:r>
          </w:p>
        </w:tc>
      </w:tr>
      <w:tr>
        <w:trPr>
          <w:tblHeader w:val="false"/>
        </w:trPr>
        <w:tc>
          <w:tcPr>
            <w:tcW w:type="dxa" w:w="82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GM2</w:t>
            </w:r>
          </w:p>
        </w:tc>
        <w:tc>
          <w:tcPr>
            <w:tcW w:type="dxa" w:w="300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How participants were chosen; inclusion and exclusion</w:t>
            </w:r>
          </w:p>
        </w:tc>
        <w:tc>
          <w:tcPr>
            <w:tcW w:type="dxa" w:w="230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Methods, “Study design and sample”</w:t>
            </w:r>
          </w:p>
        </w:tc>
        <w:tc>
          <w:tcPr>
            <w:tcW w:type="dxa" w:w="2906"/>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Probabilistic panel with stratification by sex, municipality and age class; 1200 invited, 901 responded.</w:t>
            </w:r>
          </w:p>
        </w:tc>
      </w:tr>
      <w:tr>
        <w:trPr>
          <w:tblHeader w:val="false"/>
        </w:trPr>
        <w:tc>
          <w:tcPr>
            <w:tcW w:type="dxa" w:w="82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GM3</w:t>
            </w:r>
          </w:p>
        </w:tc>
        <w:tc>
          <w:tcPr>
            <w:tcW w:type="dxa" w:w="300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How and when the instrument was administered</w:t>
            </w:r>
          </w:p>
        </w:tc>
        <w:tc>
          <w:tcPr>
            <w:tcW w:type="dxa" w:w="230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Methods, “Study design and sample” and instrument section</w:t>
            </w:r>
          </w:p>
        </w:tc>
        <w:tc>
          <w:tcPr>
            <w:tcW w:type="dxa" w:w="2906"/>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Online questionnaire, February to March 2026.</w:t>
            </w:r>
          </w:p>
        </w:tc>
      </w:tr>
      <w:tr>
        <w:trPr>
          <w:tblHeader w:val="false"/>
        </w:trPr>
        <w:tc>
          <w:tcPr>
            <w:tcW w:type="dxa" w:w="82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GM4</w:t>
            </w:r>
          </w:p>
        </w:tc>
        <w:tc>
          <w:tcPr>
            <w:tcW w:type="dxa" w:w="300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Other data collection, exposures and time points</w:t>
            </w:r>
          </w:p>
        </w:tc>
        <w:tc>
          <w:tcPr>
            <w:tcW w:type="dxa" w:w="230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Methods, “Latent class analysis”; Table 1</w:t>
            </w:r>
          </w:p>
        </w:tc>
        <w:tc>
          <w:tcPr>
            <w:tcW w:type="dxa" w:w="2906"/>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Covariates from the same wave; single time point.</w:t>
            </w:r>
          </w:p>
        </w:tc>
      </w:tr>
      <w:tr>
        <w:trPr>
          <w:tblHeader w:val="false"/>
        </w:trPr>
        <w:tc>
          <w:tcPr>
            <w:tcW w:type="dxa" w:w="82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GM5</w:t>
            </w:r>
          </w:p>
        </w:tc>
        <w:tc>
          <w:tcPr>
            <w:tcW w:type="dxa" w:w="300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Power calculation for the analyses</w:t>
            </w:r>
          </w:p>
        </w:tc>
        <w:tc>
          <w:tcPr>
            <w:tcW w:type="dxa" w:w="230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Not performed</w:t>
            </w:r>
          </w:p>
        </w:tc>
        <w:tc>
          <w:tcPr>
            <w:tcW w:type="dxa" w:w="2906"/>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The sample size was fixed by the panel wave. The consequence for the equivalence finding is stated in the Limitations.</w:t>
            </w:r>
          </w:p>
        </w:tc>
      </w:tr>
      <w:tr>
        <w:trPr>
          <w:tblHeader w:val="false"/>
        </w:trPr>
        <w:tc>
          <w:tcPr>
            <w:tcW w:type="dxa" w:w="82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GM6</w:t>
            </w:r>
          </w:p>
        </w:tc>
        <w:tc>
          <w:tcPr>
            <w:tcW w:type="dxa" w:w="300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Statistical analyses for all objectives</w:t>
            </w:r>
          </w:p>
        </w:tc>
        <w:tc>
          <w:tcPr>
            <w:tcW w:type="dxa" w:w="230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Methods, all subsections</w:t>
            </w:r>
          </w:p>
        </w:tc>
        <w:tc>
          <w:tcPr>
            <w:tcW w:type="dxa" w:w="2906"/>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
            </w:r>
          </w:p>
        </w:tc>
      </w:tr>
      <w:tr>
        <w:trPr>
          <w:tblHeader w:val="false"/>
        </w:trPr>
        <w:tc>
          <w:tcPr>
            <w:tcW w:type="dxa" w:w="82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GM7</w:t>
            </w:r>
          </w:p>
        </w:tc>
        <w:tc>
          <w:tcPr>
            <w:tcW w:type="dxa" w:w="300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Handling of missing data</w:t>
            </w:r>
          </w:p>
        </w:tc>
        <w:tc>
          <w:tcPr>
            <w:tcW w:type="dxa" w:w="230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Methods, “Dichotomisation and treatment of uncertainty responses”; Additional file 11</w:t>
            </w:r>
          </w:p>
        </w:tc>
        <w:tc>
          <w:tcPr>
            <w:tcW w:type="dxa" w:w="2906"/>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No missing data under the main scoring; the alternative treatment is reported as a sensitivity analysis.</w:t>
            </w:r>
          </w:p>
        </w:tc>
      </w:tr>
      <w:tr>
        <w:trPr>
          <w:tblHeader w:val="false"/>
        </w:trPr>
        <w:tc>
          <w:tcPr>
            <w:tcW w:type="dxa" w:w="82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GM8</w:t>
            </w:r>
          </w:p>
        </w:tc>
        <w:tc>
          <w:tcPr>
            <w:tcW w:type="dxa" w:w="300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Analyses specified after data collection</w:t>
            </w:r>
          </w:p>
        </w:tc>
        <w:tc>
          <w:tcPr>
            <w:tcW w:type="dxa" w:w="230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Methods, “Derivation and validation of the short form”</w:t>
            </w:r>
          </w:p>
        </w:tc>
        <w:tc>
          <w:tcPr>
            <w:tcW w:type="dxa" w:w="2906"/>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The entire analysis is secondary to the survey. The two constraint values of the decision rule were not fixed in advance, and this is stated.</w:t>
            </w:r>
          </w:p>
        </w:tc>
      </w:tr>
      <w:tr>
        <w:trPr>
          <w:tblHeader w:val="false"/>
        </w:trPr>
        <w:tc>
          <w:tcPr>
            <w:tcW w:type="dxa" w:w="82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GR1</w:t>
            </w:r>
          </w:p>
        </w:tc>
        <w:tc>
          <w:tcPr>
            <w:tcW w:type="dxa" w:w="300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Amount and reasons for missing data</w:t>
            </w:r>
          </w:p>
        </w:tc>
        <w:tc>
          <w:tcPr>
            <w:tcW w:type="dxa" w:w="230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Results, “Sensitivity analysis”; Additional file 11</w:t>
            </w:r>
          </w:p>
        </w:tc>
        <w:tc>
          <w:tcPr>
            <w:tcW w:type="dxa" w:w="2906"/>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
            </w:r>
          </w:p>
        </w:tc>
      </w:tr>
      <w:tr>
        <w:trPr>
          <w:tblHeader w:val="false"/>
        </w:trPr>
        <w:tc>
          <w:tcPr>
            <w:tcW w:type="dxa" w:w="82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GR2</w:t>
            </w:r>
          </w:p>
        </w:tc>
        <w:tc>
          <w:tcPr>
            <w:tcW w:type="dxa" w:w="300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Sample characteristics including instrument scores</w:t>
            </w:r>
          </w:p>
        </w:tc>
        <w:tc>
          <w:tcPr>
            <w:tcW w:type="dxa" w:w="230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Table 1; Results, first subsection</w:t>
            </w:r>
          </w:p>
        </w:tc>
        <w:tc>
          <w:tcPr>
            <w:tcW w:type="dxa" w:w="2906"/>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Sum score mean 8.46, SD 4.77, median 9.</w:t>
            </w:r>
          </w:p>
        </w:tc>
      </w:tr>
      <w:tr>
        <w:trPr>
          <w:tblHeader w:val="false"/>
        </w:trPr>
        <w:tc>
          <w:tcPr>
            <w:tcW w:type="dxa" w:w="82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GR3</w:t>
            </w:r>
          </w:p>
        </w:tc>
        <w:tc>
          <w:tcPr>
            <w:tcW w:type="dxa" w:w="300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Sample size for each analysis where these differ</w:t>
            </w:r>
          </w:p>
        </w:tc>
        <w:tc>
          <w:tcPr>
            <w:tcW w:type="dxa" w:w="230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Table 3; Results</w:t>
            </w:r>
          </w:p>
        </w:tc>
        <w:tc>
          <w:tcPr>
            <w:tcW w:type="dxa" w:w="2906"/>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n = 826 for language, 534 for the age contrast, 901 otherwise.</w:t>
            </w:r>
          </w:p>
        </w:tc>
      </w:tr>
      <w:tr>
        <w:trPr>
          <w:tblHeader w:val="false"/>
        </w:trPr>
        <w:tc>
          <w:tcPr>
            <w:tcW w:type="dxa" w:w="82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D1</w:t>
            </w:r>
          </w:p>
        </w:tc>
        <w:tc>
          <w:tcPr>
            <w:tcW w:type="dxa" w:w="300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Each result compared with criteria for good properties</w:t>
            </w:r>
          </w:p>
        </w:tc>
        <w:tc>
          <w:tcPr>
            <w:tcW w:type="dxa" w:w="230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Results and Discussion</w:t>
            </w:r>
          </w:p>
        </w:tc>
        <w:tc>
          <w:tcPr>
            <w:tcW w:type="dxa" w:w="2906"/>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Loevinger H, invariant item ordering, Q3 and the differential item functioning criterion are each judged against stated thresholds.</w:t>
            </w:r>
          </w:p>
        </w:tc>
      </w:tr>
      <w:tr>
        <w:trPr>
          <w:tblHeader w:val="false"/>
        </w:trPr>
        <w:tc>
          <w:tcPr>
            <w:tcW w:type="dxa" w:w="82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D2</w:t>
            </w:r>
          </w:p>
        </w:tc>
        <w:tc>
          <w:tcPr>
            <w:tcW w:type="dxa" w:w="300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Practical relevance of the findings</w:t>
            </w:r>
          </w:p>
        </w:tc>
        <w:tc>
          <w:tcPr>
            <w:tcW w:type="dxa" w:w="230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Discussion, paragraphs on the short form and on its first application</w:t>
            </w:r>
          </w:p>
        </w:tc>
        <w:tc>
          <w:tcPr>
            <w:tcW w:type="dxa" w:w="2906"/>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
            </w:r>
          </w:p>
        </w:tc>
      </w:tr>
      <w:tr>
        <w:trPr>
          <w:tblHeader w:val="false"/>
        </w:trPr>
        <w:tc>
          <w:tcPr>
            <w:tcW w:type="dxa" w:w="82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D3</w:t>
            </w:r>
          </w:p>
        </w:tc>
        <w:tc>
          <w:tcPr>
            <w:tcW w:type="dxa" w:w="300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Strengths and limitations</w:t>
            </w:r>
          </w:p>
        </w:tc>
        <w:tc>
          <w:tcPr>
            <w:tcW w:type="dxa" w:w="230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Limitations</w:t>
            </w:r>
          </w:p>
        </w:tc>
        <w:tc>
          <w:tcPr>
            <w:tcW w:type="dxa" w:w="2906"/>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
            </w:r>
          </w:p>
        </w:tc>
      </w:tr>
      <w:tr>
        <w:trPr>
          <w:tblHeader w:val="false"/>
        </w:trPr>
        <w:tc>
          <w:tcPr>
            <w:tcW w:type="dxa" w:w="82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D4</w:t>
            </w:r>
          </w:p>
        </w:tc>
        <w:tc>
          <w:tcPr>
            <w:tcW w:type="dxa" w:w="300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Generalisability</w:t>
            </w:r>
          </w:p>
        </w:tc>
        <w:tc>
          <w:tcPr>
            <w:tcW w:type="dxa" w:w="230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Limitations, final paragraph</w:t>
            </w:r>
          </w:p>
        </w:tc>
        <w:tc>
          <w:tcPr>
            <w:tcW w:type="dxa" w:w="2906"/>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
            </w:r>
          </w:p>
        </w:tc>
      </w:tr>
      <w:tr>
        <w:trPr>
          <w:tblHeader w:val="false"/>
        </w:trPr>
        <w:tc>
          <w:tcPr>
            <w:tcW w:type="dxa" w:w="82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D5</w:t>
            </w:r>
          </w:p>
        </w:tc>
        <w:tc>
          <w:tcPr>
            <w:tcW w:type="dxa" w:w="300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Need for modification or new development</w:t>
            </w:r>
          </w:p>
        </w:tc>
        <w:tc>
          <w:tcPr>
            <w:tcW w:type="dxa" w:w="230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Discussion, paragraph on adapting the intermediate items</w:t>
            </w:r>
          </w:p>
        </w:tc>
        <w:tc>
          <w:tcPr>
            <w:tcW w:type="dxa" w:w="2906"/>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
            </w:r>
          </w:p>
        </w:tc>
      </w:tr>
      <w:tr>
        <w:trPr>
          <w:tblHeader w:val="false"/>
        </w:trPr>
        <w:tc>
          <w:tcPr>
            <w:tcW w:type="dxa" w:w="82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D6</w:t>
            </w:r>
          </w:p>
        </w:tc>
        <w:tc>
          <w:tcPr>
            <w:tcW w:type="dxa" w:w="300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Type of research needed next</w:t>
            </w:r>
          </w:p>
        </w:tc>
        <w:tc>
          <w:tcPr>
            <w:tcW w:type="dxa" w:w="230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Discussion and Conclusions</w:t>
            </w:r>
          </w:p>
        </w:tc>
        <w:tc>
          <w:tcPr>
            <w:tcW w:type="dxa" w:w="2906"/>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External validation in the accompanying survey of health professionals.</w:t>
            </w:r>
          </w:p>
        </w:tc>
      </w:tr>
      <w:tr>
        <w:trPr>
          <w:tblHeader w:val="false"/>
        </w:trPr>
        <w:tc>
          <w:tcPr>
            <w:tcW w:type="dxa" w:w="82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C1</w:t>
            </w:r>
          </w:p>
        </w:tc>
        <w:tc>
          <w:tcPr>
            <w:tcW w:type="dxa" w:w="300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Overall conclusions per property and for the instrument</w:t>
            </w:r>
          </w:p>
        </w:tc>
        <w:tc>
          <w:tcPr>
            <w:tcW w:type="dxa" w:w="230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Conclusions</w:t>
            </w:r>
          </w:p>
        </w:tc>
        <w:tc>
          <w:tcPr>
            <w:tcW w:type="dxa" w:w="2906"/>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
            </w:r>
          </w:p>
        </w:tc>
      </w:tr>
      <w:tr>
        <w:trPr>
          <w:tblHeader w:val="false"/>
        </w:trPr>
        <w:tc>
          <w:tcPr>
            <w:tcW w:type="dxa" w:w="82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O1</w:t>
            </w:r>
          </w:p>
        </w:tc>
        <w:tc>
          <w:tcPr>
            <w:tcW w:type="dxa" w:w="300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Conflicts of interest related to the instrument</w:t>
            </w:r>
          </w:p>
        </w:tc>
        <w:tc>
          <w:tcPr>
            <w:tcW w:type="dxa" w:w="230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Declarations, “Competing interests”</w:t>
            </w:r>
          </w:p>
        </w:tc>
        <w:tc>
          <w:tcPr>
            <w:tcW w:type="dxa" w:w="2906"/>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None declared. No author holds rights in the instrument.</w:t>
            </w:r>
          </w:p>
        </w:tc>
      </w:tr>
    </w:tbl>
    <w:p>
      <w:pPr>
        <w:spacing w:after="160" w:line="360"/>
      </w:pPr>
      <w:r>
        <w:rPr>
          <w:rFonts w:ascii="Times New Roman" w:cs="Times New Roman" w:eastAsia="Times New Roman" w:hAnsi="Times New Roman"/>
          <w:b w:val="false"/>
          <w:bCs w:val="false"/>
          <w:i w:val="false"/>
          <w:iCs w:val="false"/>
          <w:sz w:val="22"/>
          <w:szCs w:val="22"/>
        </w:rPr>
        <w:t xml:space="preserve"/>
      </w:r>
    </w:p>
    <w:p>
      <w:pPr>
        <w:pStyle w:val="Heading2"/>
        <w:spacing w:after="140" w:before="240" w:line="360"/>
      </w:pPr>
      <w:r>
        <w:rPr>
          <w:rFonts w:ascii="Times New Roman" w:cs="Times New Roman" w:eastAsia="Times New Roman" w:hAnsi="Times New Roman"/>
          <w:b/>
          <w:bCs/>
          <w:sz w:val="22"/>
          <w:szCs w:val="22"/>
        </w:rPr>
        <w:t xml:space="preserve">Items specific to the measurement properties examined</w:t>
      </w:r>
    </w:p>
    <w:tbl>
      <w:tblPr>
        <w:tblW w:type="dxa" w:w="9026"/>
        <w:tblBorders>
          <w:top w:val="single" w:color="888888" w:sz="4"/>
          <w:left w:val="none"/>
          <w:bottom w:val="single" w:color="888888" w:sz="4"/>
          <w:right w:val="none"/>
          <w:insideH w:val="single" w:color="CCCCCC" w:sz="2"/>
          <w:insideV w:val="none"/>
        </w:tblBorders>
      </w:tblPr>
      <w:tblGrid>
        <w:gridCol w:w="820"/>
        <w:gridCol w:w="3000"/>
        <w:gridCol w:w="2300"/>
        <w:gridCol w:w="2906"/>
      </w:tblGrid>
      <w:tr>
        <w:trPr>
          <w:tblHeader/>
        </w:trPr>
        <w:tc>
          <w:tcPr>
            <w:tcW w:type="dxa" w:w="820"/>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20"/>
                <w:szCs w:val="20"/>
              </w:rPr>
              <w:t xml:space="preserve">Item</w:t>
            </w:r>
          </w:p>
        </w:tc>
        <w:tc>
          <w:tcPr>
            <w:tcW w:type="dxa" w:w="3000"/>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20"/>
                <w:szCs w:val="20"/>
              </w:rPr>
              <w:t xml:space="preserve">What the guideline asks for</w:t>
            </w:r>
          </w:p>
        </w:tc>
        <w:tc>
          <w:tcPr>
            <w:tcW w:type="dxa" w:w="2300"/>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20"/>
                <w:szCs w:val="20"/>
              </w:rPr>
              <w:t xml:space="preserve">Where it is reported</w:t>
            </w:r>
          </w:p>
        </w:tc>
        <w:tc>
          <w:tcPr>
            <w:tcW w:type="dxa" w:w="2906"/>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20"/>
                <w:szCs w:val="20"/>
              </w:rPr>
              <w:t xml:space="preserve">Notes</w:t>
            </w:r>
          </w:p>
        </w:tc>
      </w:tr>
      <w:tr>
        <w:trPr>
          <w:tblHeader w:val="false"/>
        </w:trPr>
        <w:tc>
          <w:tcPr>
            <w:tcW w:type="dxa" w:w="82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SV1</w:t>
            </w:r>
          </w:p>
        </w:tc>
        <w:tc>
          <w:tcPr>
            <w:tcW w:type="dxa" w:w="300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Methods and results of exploratory or confirmatory factor analysis</w:t>
            </w:r>
          </w:p>
        </w:tc>
        <w:tc>
          <w:tcPr>
            <w:tcW w:type="dxa" w:w="230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Not performed</w:t>
            </w:r>
          </w:p>
        </w:tc>
        <w:tc>
          <w:tcPr>
            <w:tcW w:type="dxa" w:w="2906"/>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Dimensionality was examined within the nonparametric framework by the automated item selection procedure at three lower bounds, reported in Methods and Results. A factor model was not fitted because the analysis does not assume a parametric response function.</w:t>
            </w:r>
          </w:p>
        </w:tc>
      </w:tr>
      <w:tr>
        <w:trPr>
          <w:tblHeader w:val="false"/>
        </w:trPr>
        <w:tc>
          <w:tcPr>
            <w:tcW w:type="dxa" w:w="82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SV2</w:t>
            </w:r>
          </w:p>
        </w:tc>
        <w:tc>
          <w:tcPr>
            <w:tcW w:type="dxa" w:w="300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Type of item response model, estimation, assumption checks</w:t>
            </w:r>
          </w:p>
        </w:tc>
        <w:tc>
          <w:tcPr>
            <w:tcW w:type="dxa" w:w="230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Methods, “Mokken scale analysis”; Results, first two subsections</w:t>
            </w:r>
          </w:p>
        </w:tc>
        <w:tc>
          <w:tcPr>
            <w:tcW w:type="dxa" w:w="2906"/>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Nonparametric item response theory: monotone homogeneity and double monotonicity models. Assumptions checked separately: monotonicity, local independence and invariant item ordering, each with the procedure settings stated.</w:t>
            </w:r>
          </w:p>
        </w:tc>
      </w:tr>
      <w:tr>
        <w:trPr>
          <w:tblHeader w:val="false"/>
        </w:trPr>
        <w:tc>
          <w:tcPr>
            <w:tcW w:type="dxa" w:w="82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IC1</w:t>
            </w:r>
          </w:p>
        </w:tc>
        <w:tc>
          <w:tcPr>
            <w:tcW w:type="dxa" w:w="300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Internal consistency per unidimensional scale</w:t>
            </w:r>
          </w:p>
        </w:tc>
        <w:tc>
          <w:tcPr>
            <w:tcW w:type="dxa" w:w="230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Results, short form; Table 4; Additional file 7</w:t>
            </w:r>
          </w:p>
        </w:tc>
        <w:tc>
          <w:tcPr>
            <w:tcW w:type="dxa" w:w="2906"/>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Reported for the 16-item instrument and for the five-item short form, each shown to be unidimensional at the conventional criterion.</w:t>
            </w:r>
          </w:p>
        </w:tc>
      </w:tr>
      <w:tr>
        <w:trPr>
          <w:tblHeader w:val="false"/>
        </w:trPr>
        <w:tc>
          <w:tcPr>
            <w:tcW w:type="dxa" w:w="82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IC2</w:t>
            </w:r>
          </w:p>
        </w:tc>
        <w:tc>
          <w:tcPr>
            <w:tcW w:type="dxa" w:w="300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Cronbach alpha or omega for continuous scores</w:t>
            </w:r>
          </w:p>
        </w:tc>
        <w:tc>
          <w:tcPr>
            <w:tcW w:type="dxa" w:w="230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Not applicable</w:t>
            </w:r>
          </w:p>
        </w:tc>
        <w:tc>
          <w:tcPr>
            <w:tcW w:type="dxa" w:w="2906"/>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All items are dichotomous.</w:t>
            </w:r>
          </w:p>
        </w:tc>
      </w:tr>
      <w:tr>
        <w:trPr>
          <w:tblHeader w:val="false"/>
        </w:trPr>
        <w:tc>
          <w:tcPr>
            <w:tcW w:type="dxa" w:w="82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IC3</w:t>
            </w:r>
          </w:p>
        </w:tc>
        <w:tc>
          <w:tcPr>
            <w:tcW w:type="dxa" w:w="300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Cronbach alpha or Kuder-Richardson for dichotomous scores</w:t>
            </w:r>
          </w:p>
        </w:tc>
        <w:tc>
          <w:tcPr>
            <w:tcW w:type="dxa" w:w="230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Results, short form; Table 4; Additional file 7</w:t>
            </w:r>
          </w:p>
        </w:tc>
        <w:tc>
          <w:tcPr>
            <w:tcW w:type="dxa" w:w="2906"/>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Alpha 0.895 for the full instrument and 0.738 for the short form, with the Molenaar-Sijtsma statistic and Guttman lambda-2 alongside, because alpha assumes tau-equivalence which a Mokken scale does not impose.</w:t>
            </w:r>
          </w:p>
        </w:tc>
      </w:tr>
      <w:tr>
        <w:trPr>
          <w:tblHeader w:val="false"/>
        </w:trPr>
        <w:tc>
          <w:tcPr>
            <w:tcW w:type="dxa" w:w="82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CCV1</w:t>
            </w:r>
          </w:p>
        </w:tc>
        <w:tc>
          <w:tcPr>
            <w:tcW w:type="dxa" w:w="300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Characteristics and sizes of the groups compared</w:t>
            </w:r>
          </w:p>
        </w:tc>
        <w:tc>
          <w:tcPr>
            <w:tcW w:type="dxa" w:w="230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Methods, “Differential item functioning”; Results; Table 1 and Table 3</w:t>
            </w:r>
          </w:p>
        </w:tc>
        <w:tc>
          <w:tcPr>
            <w:tcW w:type="dxa" w:w="2906"/>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German-speaking n = 613, Italian-speaking n = 213; secondary groupings by area of residence, sex and age.</w:t>
            </w:r>
          </w:p>
        </w:tc>
      </w:tr>
      <w:tr>
        <w:trPr>
          <w:tblHeader w:val="false"/>
        </w:trPr>
        <w:tc>
          <w:tcPr>
            <w:tcW w:type="dxa" w:w="82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CCV2</w:t>
            </w:r>
          </w:p>
        </w:tc>
        <w:tc>
          <w:tcPr>
            <w:tcW w:type="dxa" w:w="300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Multiple-group confirmatory factor analysis</w:t>
            </w:r>
          </w:p>
        </w:tc>
        <w:tc>
          <w:tcPr>
            <w:tcW w:type="dxa" w:w="230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Not performed; justified in Methods, “Differential item functioning”</w:t>
            </w:r>
          </w:p>
        </w:tc>
        <w:tc>
          <w:tcPr>
            <w:tcW w:type="dxa" w:w="2906"/>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Five attitude items loading on two factors are too few to support a scalar invariance test. The differential item functioning analysis of the 16 acceptance items addresses the same question with greater power.</w:t>
            </w:r>
          </w:p>
        </w:tc>
      </w:tr>
      <w:tr>
        <w:trPr>
          <w:tblHeader w:val="false"/>
        </w:trPr>
        <w:tc>
          <w:tcPr>
            <w:tcW w:type="dxa" w:w="82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CCV3</w:t>
            </w:r>
          </w:p>
        </w:tc>
        <w:tc>
          <w:tcPr>
            <w:tcW w:type="dxa" w:w="300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Item response analyses: model type and assumption checks</w:t>
            </w:r>
          </w:p>
        </w:tc>
        <w:tc>
          <w:tcPr>
            <w:tcW w:type="dxa" w:w="230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Methods, “Differential item functioning”; Results; Additional file 6</w:t>
            </w:r>
          </w:p>
        </w:tc>
        <w:tc>
          <w:tcPr>
            <w:tcW w:type="dxa" w:w="2906"/>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Logistic regression conditioned on the sum score, judged on the increment in McFadden pseudo-R² against a criterion of 0.035 with false discovery rate adjustment. Conditioning on the rest score was run as a robustness check. This is an observed-score procedure, consistent with the nonparametric framework of the rest of the analysis.</w:t>
            </w:r>
          </w:p>
        </w:tc>
      </w:tr>
    </w:tbl>
    <w:p>
      <w:pPr>
        <w:spacing w:after="160" w:line="360"/>
      </w:pPr>
      <w:r>
        <w:rPr>
          <w:rFonts w:ascii="Times New Roman" w:cs="Times New Roman" w:eastAsia="Times New Roman" w:hAnsi="Times New Roman"/>
          <w:b w:val="false"/>
          <w:bCs w:val="false"/>
          <w:i w:val="false"/>
          <w:iCs w:val="false"/>
          <w:sz w:val="22"/>
          <w:szCs w:val="22"/>
        </w:rPr>
        <w:t xml:space="preserve"/>
      </w:r>
    </w:p>
    <w:p>
      <w:pPr>
        <w:pStyle w:val="Heading2"/>
        <w:spacing w:after="140" w:before="240" w:line="360"/>
      </w:pPr>
      <w:r>
        <w:rPr>
          <w:rFonts w:ascii="Times New Roman" w:cs="Times New Roman" w:eastAsia="Times New Roman" w:hAnsi="Times New Roman"/>
          <w:b/>
          <w:bCs/>
          <w:sz w:val="22"/>
          <w:szCs w:val="22"/>
        </w:rPr>
        <w:t xml:space="preserve">Item groups not covered by this study</w:t>
      </w:r>
    </w:p>
    <w:tbl>
      <w:tblPr>
        <w:tblW w:type="dxa" w:w="9026"/>
        <w:tblBorders>
          <w:top w:val="single" w:color="888888" w:sz="4"/>
          <w:left w:val="none"/>
          <w:bottom w:val="single" w:color="888888" w:sz="4"/>
          <w:right w:val="none"/>
          <w:insideH w:val="single" w:color="CCCCCC" w:sz="2"/>
          <w:insideV w:val="none"/>
        </w:tblBorders>
      </w:tblPr>
      <w:tblGrid>
        <w:gridCol w:w="3200"/>
        <w:gridCol w:w="5826"/>
      </w:tblGrid>
      <w:tr>
        <w:trPr>
          <w:tblHeader/>
        </w:trPr>
        <w:tc>
          <w:tcPr>
            <w:tcW w:type="dxa" w:w="3200"/>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20"/>
                <w:szCs w:val="20"/>
              </w:rPr>
              <w:t xml:space="preserve">Item group</w:t>
            </w:r>
          </w:p>
        </w:tc>
        <w:tc>
          <w:tcPr>
            <w:tcW w:type="dxa" w:w="5826"/>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20"/>
                <w:szCs w:val="20"/>
              </w:rPr>
              <w:t xml:space="preserve">Reason</w:t>
            </w:r>
          </w:p>
        </w:tc>
      </w:tr>
      <w:tr>
        <w:trPr>
          <w:tblHeader w:val="false"/>
        </w:trPr>
        <w:tc>
          <w:tcPr>
            <w:tcW w:type="dxa" w:w="320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Content validity (CV1–CV7)</w:t>
            </w:r>
          </w:p>
        </w:tc>
        <w:tc>
          <w:tcPr>
            <w:tcW w:type="dxa" w:w="5826"/>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Not assessed. The applications were adapted from a source survey rather than generated for this study; development comprised expert review of content completeness, face validity and linguistic equivalence by one collaborator from each of the two institutions. A quantitative content validity assessment and cognitive pretesting were not carried out. Stated in the Methods and in the Limitations.</w:t>
            </w:r>
          </w:p>
        </w:tc>
      </w:tr>
      <w:tr>
        <w:trPr>
          <w:tblHeader w:val="false"/>
        </w:trPr>
        <w:tc>
          <w:tcPr>
            <w:tcW w:type="dxa" w:w="320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Hypotheses testing for construct validity (ConV1–ConV5)</w:t>
            </w:r>
          </w:p>
        </w:tc>
        <w:tc>
          <w:tcPr>
            <w:tcW w:type="dxa" w:w="5826"/>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Not assessed. No comparator instrument was administered in the same wave, so no hypothesis about an expected correlation could be tested. Stated in the Limitations.</w:t>
            </w:r>
          </w:p>
        </w:tc>
      </w:tr>
      <w:tr>
        <w:trPr>
          <w:tblHeader w:val="false"/>
        </w:trPr>
        <w:tc>
          <w:tcPr>
            <w:tcW w:type="dxa" w:w="320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Reliability (R1–R3)</w:t>
            </w:r>
          </w:p>
        </w:tc>
        <w:tc>
          <w:tcPr>
            <w:tcW w:type="dxa" w:w="5826"/>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Not applicable. A single administration; no test-retest and no inter-rater component.</w:t>
            </w:r>
          </w:p>
        </w:tc>
      </w:tr>
      <w:tr>
        <w:trPr>
          <w:tblHeader w:val="false"/>
        </w:trPr>
        <w:tc>
          <w:tcPr>
            <w:tcW w:type="dxa" w:w="320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Measurement error (ME1–ME2)</w:t>
            </w:r>
          </w:p>
        </w:tc>
        <w:tc>
          <w:tcPr>
            <w:tcW w:type="dxa" w:w="5826"/>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Not applicable. As for reliability.</w:t>
            </w:r>
          </w:p>
        </w:tc>
      </w:tr>
      <w:tr>
        <w:trPr>
          <w:tblHeader w:val="false"/>
        </w:trPr>
        <w:tc>
          <w:tcPr>
            <w:tcW w:type="dxa" w:w="320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Criterion validity (CriV1–CriV3)</w:t>
            </w:r>
          </w:p>
        </w:tc>
        <w:tc>
          <w:tcPr>
            <w:tcW w:type="dxa" w:w="5826"/>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Not applicable. No gold standard exists for acceptance of artificial intelligence in health care.</w:t>
            </w:r>
          </w:p>
        </w:tc>
      </w:tr>
      <w:tr>
        <w:trPr>
          <w:tblHeader w:val="false"/>
        </w:trPr>
        <w:tc>
          <w:tcPr>
            <w:tcW w:type="dxa" w:w="3200"/>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Responsiveness (Resp1–Resp9)</w:t>
            </w:r>
          </w:p>
        </w:tc>
        <w:tc>
          <w:tcPr>
            <w:tcW w:type="dxa" w:w="5826"/>
            <w:tcMar>
              <w:top w:type="dxa" w:w="60"/>
              <w:left w:type="dxa" w:w="90"/>
              <w:bottom w:type="dxa" w:w="60"/>
              <w:right w:type="dxa" w:w="90"/>
            </w:tcMar>
          </w:tcPr>
          <w:p>
            <w:pPr>
              <w:spacing w:after="0" w:line="240"/>
            </w:pPr>
            <w:r>
              <w:rPr>
                <w:rFonts w:ascii="Times New Roman" w:cs="Times New Roman" w:eastAsia="Times New Roman" w:hAnsi="Times New Roman"/>
                <w:b w:val="false"/>
                <w:bCs w:val="false"/>
                <w:sz w:val="20"/>
                <w:szCs w:val="20"/>
              </w:rPr>
              <w:t xml:space="preserve">Not applicable. Cross-sectional design; no change over time is measured.</w:t>
            </w:r>
          </w:p>
        </w:tc>
      </w:tr>
    </w:tbl>
    <w:p>
      <w:pPr>
        <w:spacing w:after="160" w:line="360"/>
      </w:pPr>
      <w:r>
        <w:rPr>
          <w:rFonts w:ascii="Times New Roman" w:cs="Times New Roman" w:eastAsia="Times New Roman" w:hAnsi="Times New Roman"/>
          <w:b w:val="false"/>
          <w:bCs w:val="false"/>
          <w:i w:val="false"/>
          <w:iCs w:val="false"/>
          <w:sz w:val="22"/>
          <w:szCs w:val="22"/>
        </w:rPr>
        <w:t xml:space="preserve"/>
      </w:r>
    </w:p>
    <w:p>
      <w:pPr>
        <w:spacing w:after="160" w:line="360"/>
      </w:pPr>
      <w:r>
        <w:rPr>
          <w:rFonts w:ascii="Times New Roman" w:cs="Times New Roman" w:eastAsia="Times New Roman" w:hAnsi="Times New Roman"/>
          <w:b w:val="false"/>
          <w:bCs w:val="false"/>
          <w:i w:val="false"/>
          <w:iCs w:val="false"/>
          <w:sz w:val="22"/>
          <w:szCs w:val="22"/>
        </w:rPr>
        <w:t xml:space="preserve">The distinction between not assessed and not applicable is deliberate. Content validity and hypotheses testing for construct validity could have been examined and were not, for reasons given; reliability, measurement error, criterion validity and responsiveness are precluded by the design of the wave. Two further deviations are worth stating plainly rather than leaving to be inferred. No power calculation was carried out, because the sample size was fixed by the panel wave; what follows from this for the equivalence finding is set out in the Limitations. And structural validity was examined by the automated item selection procedure of the nonparametric framework rather than by a factor model, because the analysis does not assume a parametric item response function.</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2026-08-10T09:48:14.173Z</dcterms:created>
  <dcterms:modified xsi:type="dcterms:W3CDTF">2026-08-10T09:48:14.187Z</dcterms:modified>
</cp:coreProperties>
</file>

<file path=docProps/custom.xml><?xml version="1.0" encoding="utf-8"?>
<Properties xmlns="http://schemas.openxmlformats.org/officeDocument/2006/custom-properties" xmlns:vt="http://schemas.openxmlformats.org/officeDocument/2006/docPropsVTypes"/>
</file>