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line="360"/>
      </w:pPr>
      <w:r>
        <w:rPr>
          <w:rFonts w:ascii="Times New Roman" w:cs="Times New Roman" w:eastAsia="Times New Roman" w:hAnsi="Times New Roman"/>
          <w:sz w:val="26"/>
          <w:szCs w:val="26"/>
        </w:rPr>
        <w:t xml:space="preserve">Additional file 9</w:t>
      </w:r>
    </w:p>
    <w:p>
      <w:pPr>
        <w:pStyle w:val="Heading2"/>
        <w:spacing w:after="160" w:line="360"/>
      </w:pPr>
      <w:r>
        <w:rPr>
          <w:rFonts w:ascii="Times New Roman" w:cs="Times New Roman" w:eastAsia="Times New Roman" w:hAnsi="Times New Roman"/>
          <w:sz w:val="24"/>
          <w:szCs w:val="24"/>
        </w:rPr>
        <w:t xml:space="preserve">Model selection, bootstrap stability and the three-class variant</w:t>
      </w:r>
    </w:p>
    <w:p>
      <w:pPr>
        <w:spacing w:after="160" w:line="360"/>
      </w:pPr>
      <w:r>
        <w:rPr>
          <w:rFonts w:ascii="Times New Roman" w:cs="Times New Roman" w:eastAsia="Times New Roman" w:hAnsi="Times New Roman"/>
          <w:i/>
          <w:iCs/>
          <w:sz w:val="22"/>
          <w:szCs w:val="22"/>
        </w:rPr>
        <w:t xml:space="preserve">Public acceptance of artificial intelligence in health care: a cumulative hierarchy in a 16-item instrument, German–Italian measurement equivalence, and a five-item short form</w:t>
      </w:r>
    </w:p>
    <w:p>
      <w:pPr>
        <w:spacing w:after="160" w:line="360"/>
      </w:pPr>
      <w:r>
        <w:rPr>
          <w:rFonts w:ascii="Times New Roman" w:cs="Times New Roman" w:eastAsia="Times New Roman" w:hAnsi="Times New Roman"/>
          <w:sz w:val="20"/>
          <w:szCs w:val="20"/>
        </w:rPr>
        <w:t xml:space="preserve">All values were computed in R 4.5.1, on 9 August 2026 except for the quantities recomputed on 26 August 2026 with an increased number of resampling draws, and are reproduced here unchanged from the analysis output files. Decimal separators have been converted from comma to point; no value has been recomputed, rounded further or derived. The complete analysis code is provided as Additional file 3.</w:t>
      </w:r>
    </w:p>
    <w:p>
      <w:pPr>
        <w:pStyle w:val="Heading2"/>
        <w:spacing w:after="140" w:before="240" w:line="360"/>
      </w:pPr>
      <w:r>
        <w:rPr>
          <w:rFonts w:ascii="Times New Roman" w:cs="Times New Roman" w:eastAsia="Times New Roman" w:hAnsi="Times New Roman"/>
          <w:b/>
          <w:bCs/>
          <w:sz w:val="22"/>
          <w:szCs w:val="22"/>
        </w:rPr>
        <w:t xml:space="preserve">9.1 Bootstrapped likelihood ratio test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56"/>
        <w:gridCol w:w="2256"/>
        <w:gridCol w:w="2256"/>
        <w:gridCol w:w="2258"/>
      </w:tblGrid>
      <w:tr>
        <w:trPr>
          <w:tblHeader/>
        </w:trPr>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Comparison</w:t>
            </w:r>
          </w:p>
        </w:tc>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Likelihood ratio</w:t>
            </w:r>
          </w:p>
        </w:tc>
        <w:tc>
          <w:tcPr>
            <w:tcW w:type="dxa" w:w="225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Valid draws</w:t>
            </w:r>
          </w:p>
        </w:tc>
        <w:tc>
          <w:tcPr>
            <w:tcW w:type="dxa" w:w="225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p</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K3 vs K2</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906.4</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500</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0.002</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K4 vs K3</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271.9</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500</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0.002</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K5 vs K4</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160.1</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500</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0.002</w:t>
            </w:r>
          </w:p>
        </w:tc>
      </w:tr>
      <w:tr>
        <w:trPr>
          <w:tblHeader w:val="false"/>
        </w:trPr>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K6 vs K5</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145.5</w:t>
            </w:r>
          </w:p>
        </w:tc>
        <w:tc>
          <w:tcPr>
            <w:tcW w:type="dxa" w:w="225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500</w:t>
            </w:r>
          </w:p>
        </w:tc>
        <w:tc>
          <w:tcPr>
            <w:tcW w:type="dxa" w:w="225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0.002</w:t>
            </w:r>
          </w:p>
        </w:tc>
      </w:tr>
    </w:tbl>
    <w:p>
      <w:pPr>
        <w:spacing w:after="160"/>
      </w:pPr>
    </w:p>
    <w:p>
      <w:pPr>
        <w:spacing w:after="160" w:line="360"/>
      </w:pPr>
      <w:r>
        <w:rPr>
          <w:rFonts w:ascii="Times New Roman" w:cs="Times New Roman" w:eastAsia="Times New Roman" w:hAnsi="Times New Roman"/>
          <w:sz w:val="22"/>
          <w:szCs w:val="22"/>
        </w:rPr>
        <w:t xml:space="preserve">All four comparisons return p = .002, the smallest value attainable with 500 draws. The test rejects the simpler model at every step and therefore continues to favour adding classes through the six-class model; it provides no stopping point within the range evaluated. Raising the number of draws from 50 to 500 lowered the attainable floor from .0196 to .002 without changing this pattern, which shows that the result is a property of the data rather than of the resolution of the test.</w:t>
      </w:r>
    </w:p>
    <w:p>
      <w:pPr>
        <w:pStyle w:val="Heading2"/>
        <w:spacing w:after="140" w:before="240" w:line="360"/>
      </w:pPr>
      <w:r>
        <w:rPr>
          <w:rFonts w:ascii="Times New Roman" w:cs="Times New Roman" w:eastAsia="Times New Roman" w:hAnsi="Times New Roman"/>
          <w:b/>
          <w:bCs/>
          <w:sz w:val="22"/>
          <w:szCs w:val="22"/>
        </w:rPr>
        <w:t xml:space="preserve">9.2 Nonparametric bootstrap, 500 draws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6"/>
      </w:tblGrid>
      <w:tr>
        <w:trPr>
          <w:tblHeader/>
        </w:trPr>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Statistic</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Mean</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5th percentile</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Median</w:t>
            </w:r>
          </w:p>
        </w:tc>
        <w:tc>
          <w:tcPr>
            <w:tcW w:type="dxa" w:w="1504"/>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95th percentile</w:t>
            </w:r>
          </w:p>
        </w:tc>
        <w:tc>
          <w:tcPr>
            <w:tcW w:type="dxa" w:w="150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Minimum</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Correlation of bootstrap class profiles with the original solution</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0.929</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0.806</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0.945</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0.975</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0.695</w:t>
            </w:r>
          </w:p>
        </w:tc>
      </w:tr>
      <w:tr>
        <w:trPr>
          <w:tblHeader w:val="false"/>
        </w:trPr>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Smallest class share, %</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11.2</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13.0</w:t>
            </w:r>
          </w:p>
        </w:tc>
        <w:tc>
          <w:tcPr>
            <w:tcW w:type="dxa" w:w="1504"/>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15.8</w:t>
            </w:r>
          </w:p>
        </w:tc>
        <w:tc>
          <w:tcPr>
            <w:tcW w:type="dxa" w:w="15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9.9</w:t>
            </w:r>
          </w:p>
        </w:tc>
      </w:tr>
    </w:tbl>
    <w:p>
      <w:pPr>
        <w:spacing w:after="160"/>
      </w:pPr>
    </w:p>
    <w:p>
      <w:pPr>
        <w:spacing w:after="160" w:line="360"/>
      </w:pPr>
      <w:r>
        <w:rPr>
          <w:rFonts w:ascii="Times New Roman" w:cs="Times New Roman" w:eastAsia="Times New Roman" w:hAnsi="Times New Roman"/>
          <w:sz w:val="22"/>
          <w:szCs w:val="22"/>
        </w:rPr>
        <w:t xml:space="preserve">All 500 draws converged. The distribution statistics above are computed from the raw bootstrap output file </w:t>
      </w:r>
      <w:r>
        <w:rPr>
          <w:rFonts w:ascii="Consolas" w:cs="Consolas" w:eastAsia="Consolas" w:hAnsi="Consolas"/>
          <w:sz w:val="20"/>
          <w:szCs w:val="20"/>
        </w:rPr>
        <w:t xml:space="preserve">03_LCA_Bootstrap_roh.csv</w:t>
      </w:r>
      <w:r>
        <w:rPr>
          <w:rFonts w:ascii="Times New Roman" w:cs="Times New Roman" w:eastAsia="Times New Roman" w:hAnsi="Times New Roman"/>
          <w:sz w:val="22"/>
          <w:szCs w:val="22"/>
        </w:rPr>
        <w:t xml:space="preserve">; the mean profile correlation of 0.929, the fifth percentile of 0.806, the minimum of 0.695 and the mean smallest class of 13.2% correspond to the values reported in the manuscript.</w:t>
      </w:r>
    </w:p>
    <w:p>
      <w:pPr>
        <w:spacing w:after="160" w:line="360"/>
      </w:pPr>
      <w:r>
        <w:rPr>
          <w:rFonts w:ascii="Times New Roman" w:cs="Times New Roman" w:eastAsia="Times New Roman" w:hAnsi="Times New Roman"/>
          <w:sz w:val="22"/>
          <w:szCs w:val="22"/>
        </w:rPr>
        <w:t xml:space="preserve">For comparison, the split-half derivation examined in the preparatory analyses achieved a mean profile correlation of only 0.824 with a fifth percentile of 0.73, which is why the classes were estimated on the full sample.</w:t>
      </w:r>
    </w:p>
    <w:p>
      <w:pPr>
        <w:pStyle w:val="Heading2"/>
        <w:spacing w:after="140" w:before="240" w:line="360"/>
      </w:pPr>
      <w:r>
        <w:rPr>
          <w:rFonts w:ascii="Times New Roman" w:cs="Times New Roman" w:eastAsia="Times New Roman" w:hAnsi="Times New Roman"/>
          <w:b/>
          <w:bCs/>
          <w:sz w:val="22"/>
          <w:szCs w:val="22"/>
        </w:rPr>
        <w:t xml:space="preserve">9.3 Three-class robustness variant</w:t>
      </w:r>
    </w:p>
    <w:p>
      <w:pPr>
        <w:spacing w:after="160" w:line="360"/>
      </w:pPr>
      <w:r>
        <w:rPr>
          <w:rFonts w:ascii="Times New Roman" w:cs="Times New Roman" w:eastAsia="Times New Roman" w:hAnsi="Times New Roman"/>
          <w:sz w:val="22"/>
          <w:szCs w:val="22"/>
        </w:rPr>
        <w:t xml:space="preserve">Class sizes 18.8 / 48.9 / 32.3 per cent, entropy 0.871. Cross-tabulation of modal assignments against the four-class solution: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6"/>
      </w:tblGrid>
      <w:tr>
        <w:trPr>
          <w:tblHeader/>
        </w:trPr>
        <w:tc>
          <w:tcPr>
            <w:tcW w:type="dxa" w:w="1805"/>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Four-class solution</w:t>
            </w:r>
          </w:p>
        </w:tc>
        <w:tc>
          <w:tcPr>
            <w:tcW w:type="dxa" w:w="1805"/>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3-class: 1</w:t>
            </w:r>
          </w:p>
        </w:tc>
        <w:tc>
          <w:tcPr>
            <w:tcW w:type="dxa" w:w="1805"/>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3-class: 2</w:t>
            </w:r>
          </w:p>
        </w:tc>
        <w:tc>
          <w:tcPr>
            <w:tcW w:type="dxa" w:w="1805"/>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3-class: 3</w:t>
            </w:r>
          </w:p>
        </w:tc>
        <w:tc>
          <w:tcPr>
            <w:tcW w:type="dxa" w:w="1806"/>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Total</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127</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127</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36</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230</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266</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3 — broadly accepting</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220</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164</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384</w:t>
            </w:r>
          </w:p>
        </w:tc>
      </w:tr>
      <w:tr>
        <w:trPr>
          <w:tblHeader w:val="false"/>
        </w:trPr>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805"/>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124</w:t>
            </w:r>
          </w:p>
        </w:tc>
        <w:tc>
          <w:tcPr>
            <w:tcW w:type="dxa" w:w="1806"/>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124</w:t>
            </w:r>
          </w:p>
        </w:tc>
      </w:tr>
    </w:tbl>
    <w:p>
      <w:pPr>
        <w:spacing w:after="160"/>
      </w:pPr>
    </w:p>
    <w:p>
      <w:pPr>
        <w:spacing w:after="160" w:line="360"/>
      </w:pPr>
      <w:r>
        <w:rPr>
          <w:rFonts w:ascii="Times New Roman" w:cs="Times New Roman" w:eastAsia="Times New Roman" w:hAnsi="Times New Roman"/>
          <w:sz w:val="22"/>
          <w:szCs w:val="22"/>
        </w:rPr>
        <w:t xml:space="preserve">The two middle classes merge in the three-class solution: of the 384 respondents in the broadly accepting class, 220 fall into the middle and 164 into the upper category, and 36 members of the administratively oriented class move to the rejecting category.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Times New Roman" w:cs="Times New Roman" w:eastAsia="Times New Roman" w:hAnsi="Times New Roman"/>
        <w:color w:val="5a5a5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2 — manuscript draft</dc:title>
  <dc:creator>ASTAT KI Gesundheitsversorgung 2026</dc:creator>
  <cp:lastModifiedBy>Un-named</cp:lastModifiedBy>
  <cp:revision>1</cp:revision>
  <dcterms:created xsi:type="dcterms:W3CDTF">2026-08-09T14:52:36.590Z</dcterms:created>
  <dcterms:modified xsi:type="dcterms:W3CDTF">2026-08-09T14:52:36.590Z</dcterms:modified>
</cp:coreProperties>
</file>

<file path=docProps/custom.xml><?xml version="1.0" encoding="utf-8"?>
<Properties xmlns="http://schemas.openxmlformats.org/officeDocument/2006/custom-properties" xmlns:vt="http://schemas.openxmlformats.org/officeDocument/2006/docPropsVTypes"/>
</file>