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line="360"/>
      </w:pPr>
      <w:r>
        <w:rPr>
          <w:rFonts w:ascii="Times New Roman" w:cs="Times New Roman" w:eastAsia="Times New Roman" w:hAnsi="Times New Roman"/>
          <w:sz w:val="26"/>
          <w:szCs w:val="26"/>
        </w:rPr>
        <w:t xml:space="preserve">Additional file 2</w:t>
      </w:r>
    </w:p>
    <w:p>
      <w:pPr>
        <w:pStyle w:val="Heading2"/>
        <w:spacing w:after="160" w:line="360"/>
      </w:pPr>
      <w:r>
        <w:rPr>
          <w:rFonts w:ascii="Times New Roman" w:cs="Times New Roman" w:eastAsia="Times New Roman" w:hAnsi="Times New Roman"/>
          <w:sz w:val="24"/>
          <w:szCs w:val="24"/>
        </w:rPr>
        <w:t xml:space="preserve">Comparison of the two language versions of the acceptance items</w:t>
      </w:r>
    </w:p>
    <w:p>
      <w:pPr>
        <w:spacing w:after="160" w:line="360"/>
      </w:pPr>
      <w:r>
        <w:rPr>
          <w:rFonts w:ascii="Times New Roman" w:cs="Times New Roman" w:eastAsia="Times New Roman" w:hAnsi="Times New Roman"/>
          <w:i/>
          <w:iCs/>
          <w:sz w:val="22"/>
          <w:szCs w:val="22"/>
        </w:rPr>
        <w:t xml:space="preserve">Public acceptance of artificial intelligence in health care: a cumulative hierarchy in a 16-item instrument, German–Italian measurement equivalence, and a five-item short form</w:t>
      </w:r>
    </w:p>
    <w:p>
      <w:pPr>
        <w:spacing w:after="160" w:line="360"/>
      </w:pPr>
      <w:r>
        <w:rPr>
          <w:rFonts w:ascii="Times New Roman" w:cs="Times New Roman" w:eastAsia="Times New Roman" w:hAnsi="Times New Roman"/>
          <w:sz w:val="20"/>
          <w:szCs w:val="20"/>
        </w:rPr>
        <w:t xml:space="preserve">All values were computed in R 4.5.1 on 9 August 2026 and are reproduced here unchanged from the analysis output files. Decimal separators have been converted from comma to point; no value has been recomputed, rounded further or derived. The complete analysis code is provided as Additional file 3.</w:t>
      </w:r>
    </w:p>
    <w:p>
      <w:pPr>
        <w:spacing w:after="160" w:line="360"/>
      </w:pPr>
      <w:r>
        <w:rPr>
          <w:rFonts w:ascii="Times New Roman" w:cs="Times New Roman" w:eastAsia="Times New Roman" w:hAnsi="Times New Roman"/>
          <w:sz w:val="22"/>
          <w:szCs w:val="22"/>
        </w:rPr>
        <w:t xml:space="preserve">The full questionnaire in both language versions is published as Multimedia Appendix 2 of the prevalence study [2] and is not reproduced here. This section reports only what that appendix does not contain: an item-by-item comparison of the German and Italian wording of block E4, </w:t>
      </w:r>
      <w:r>
        <w:rPr>
          <w:rFonts w:ascii="Times New Roman" w:cs="Times New Roman" w:eastAsia="Times New Roman" w:hAnsi="Times New Roman"/>
          <w:sz w:val="22"/>
          <w:szCs w:val="22"/>
        </w:rPr>
        <w:t xml:space="preserve">identifying the three items whose Italian version shifts the scope of the application described and the two further items that omit a qualifier</w:t>
      </w:r>
      <w:r>
        <w:rPr>
          <w:rFonts w:ascii="Times New Roman" w:cs="Times New Roman" w:eastAsia="Times New Roman" w:hAnsi="Times New Roman"/>
          <w:sz w:val="22"/>
          <w:szCs w:val="22"/>
        </w:rPr>
        <w:t xml:space="preserve">. That comparison is the empirical basis of the equivalence argument in the manuscript.</w:t>
      </w:r>
    </w:p>
    <w:p>
      <w:pPr>
        <w:spacing w:after="160" w:line="360"/>
      </w:pPr>
      <w:r>
        <w:rPr>
          <w:rFonts w:ascii="Times New Roman" w:cs="Times New Roman" w:eastAsia="Times New Roman" w:hAnsi="Times New Roman"/>
          <w:sz w:val="22"/>
          <w:szCs w:val="22"/>
        </w:rPr>
        <w:t xml:space="preserve">Respondents were asked, for each area, how acceptable or useful they considered the use of AI systems. The four response options are equivalent in both versions: </w:t>
      </w:r>
      <w:r>
        <w:rPr>
          <w:rFonts w:ascii="Times New Roman" w:cs="Times New Roman" w:eastAsia="Times New Roman" w:hAnsi="Times New Roman"/>
          <w:i/>
          <w:iCs/>
          <w:sz w:val="22"/>
          <w:szCs w:val="22"/>
        </w:rPr>
        <w:t xml:space="preserve">Nein / No</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Ja / Sì</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Weiß nicht / Non saprei</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Ich kenne diesen Aspekt nicht / Non conosco questo aspetto</w:t>
      </w:r>
      <w:r>
        <w:rPr>
          <w:rFonts w:ascii="Times New Roman" w:cs="Times New Roman" w:eastAsia="Times New Roman" w:hAnsi="Times New Roman"/>
          <w:sz w:val="22"/>
          <w:szCs w:val="22"/>
        </w:rPr>
        <w:t xml:space="preserve">. The differing response labels noted elsewhere in the questionnaire concern block E3 (attitude items) and do not affect block E4.</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8"/>
      </w:tblGrid>
      <w:tr>
        <w:trPr>
          <w:tblHeader/>
        </w:trPr>
        <w:tc>
          <w:tcPr>
            <w:tcW w:type="dxa" w:w="225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Item</w:t>
            </w:r>
          </w:p>
        </w:tc>
        <w:tc>
          <w:tcPr>
            <w:tcW w:type="dxa" w:w="225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German version</w:t>
            </w:r>
          </w:p>
        </w:tc>
        <w:tc>
          <w:tcPr>
            <w:tcW w:type="dxa" w:w="225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Italian version</w:t>
            </w:r>
          </w:p>
        </w:tc>
        <w:tc>
          <w:tcPr>
            <w:tcW w:type="dxa" w:w="225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Departure from literal translation</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E4_SQ001</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Terminplanung /-organisation (z. B. Terminvergabe für Visiten, etc.)</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Prenotazione e gestione degli appuntamenti medici.</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E4_SQ002</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Dokumentation (z. B. von Befunden, Visiten oder Therapie)</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Documentazione (es. referti, visite e terapie).</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E4_SQ003</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Überwachung von Vitalparametern (z. B. Herzfrequenz, Blutdruck)</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Monitoraggio di parametri vitali (es. pressione, frequenza cardiaca).</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E4_SQ004</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Auswertung von </w:t>
            </w:r>
            <w:r>
              <w:rPr>
                <w:rFonts w:ascii="Times New Roman" w:cs="Times New Roman" w:eastAsia="Times New Roman" w:hAnsi="Times New Roman"/>
                <w:b/>
                <w:bCs/>
                <w:sz w:val="16"/>
                <w:szCs w:val="16"/>
              </w:rPr>
              <w:t xml:space="preserve">diagnostischen Tests</w:t>
            </w:r>
            <w:r>
              <w:rPr>
                <w:rFonts w:ascii="Times New Roman" w:cs="Times New Roman" w:eastAsia="Times New Roman" w:hAnsi="Times New Roman"/>
                <w:sz w:val="16"/>
                <w:szCs w:val="16"/>
              </w:rPr>
              <w:t xml:space="preserve"> (z. B. Röntgen, CT)</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Analisi di </w:t>
            </w:r>
            <w:r>
              <w:rPr>
                <w:rFonts w:ascii="Times New Roman" w:cs="Times New Roman" w:eastAsia="Times New Roman" w:hAnsi="Times New Roman"/>
                <w:b/>
                <w:bCs/>
                <w:sz w:val="16"/>
                <w:szCs w:val="16"/>
              </w:rPr>
              <w:t xml:space="preserve">immagini diagnostiche</w:t>
            </w:r>
            <w:r>
              <w:rPr>
                <w:rFonts w:ascii="Times New Roman" w:cs="Times New Roman" w:eastAsia="Times New Roman" w:hAnsi="Times New Roman"/>
                <w:sz w:val="16"/>
                <w:szCs w:val="16"/>
              </w:rPr>
              <w:t xml:space="preserve"> (radiografie, TAC, ecc.).</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A</w:t>
            </w:r>
            <w:r>
              <w:rPr>
                <w:rFonts w:ascii="Times New Roman" w:cs="Times New Roman" w:eastAsia="Times New Roman" w:hAnsi="Times New Roman"/>
                <w:sz w:val="16"/>
                <w:szCs w:val="16"/>
              </w:rPr>
              <w:t xml:space="preserve"> — scope narrowed from diagnostic tests in general to diagnostic images</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E4_SQ005</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Unterstützung bei Diagnosestellung (z. B. Vorschläge für Arzt/Ärztin)</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Supporto alla diagnosi medica (es. suggerimenti al medico).</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E4_SQ006</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Unterstützung bei der Erstellung </w:t>
            </w:r>
            <w:r>
              <w:rPr>
                <w:rFonts w:ascii="Times New Roman" w:cs="Times New Roman" w:eastAsia="Times New Roman" w:hAnsi="Times New Roman"/>
                <w:b/>
                <w:bCs/>
                <w:sz w:val="16"/>
                <w:szCs w:val="16"/>
              </w:rPr>
              <w:t xml:space="preserve">individueller</w:t>
            </w:r>
            <w:r>
              <w:rPr>
                <w:rFonts w:ascii="Times New Roman" w:cs="Times New Roman" w:eastAsia="Times New Roman" w:hAnsi="Times New Roman"/>
                <w:sz w:val="16"/>
                <w:szCs w:val="16"/>
              </w:rPr>
              <w:t xml:space="preserve"> Behandlungs- oder Therapiepläne</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Supporto nella pianificazione della terapia.</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B</w:t>
            </w:r>
            <w:r>
              <w:rPr>
                <w:rFonts w:ascii="Times New Roman" w:cs="Times New Roman" w:eastAsia="Times New Roman" w:hAnsi="Times New Roman"/>
                <w:sz w:val="16"/>
                <w:szCs w:val="16"/>
              </w:rPr>
              <w:t xml:space="preserve"> — qualifier "individualised" omitted</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E4_SQ007</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Risikobewertung und Prognose bei chronischen Erkrankungen</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Valutazione del rischio e previsione per malattie croniche.</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E4_SQ008</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Analyse von klinischen Daten zur Erkennung von Mustern oder Anomalien</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Analisi di dati clinici per identificare pattern o anomalie.</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E4_SQ009</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Unterstützung in medizinischen Notfällen und in der Triage</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Supporto nelle emergenze mediche e nel triage.</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E4_SQ010</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Unterstützung bei dringenden Entscheidungen.</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Supporto nelle decisioni d'urgenza.</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E4_SQ011</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Information und Aufklärung</w:t>
            </w:r>
            <w:r>
              <w:rPr>
                <w:rFonts w:ascii="Times New Roman" w:cs="Times New Roman" w:eastAsia="Times New Roman" w:hAnsi="Times New Roman"/>
                <w:sz w:val="16"/>
                <w:szCs w:val="16"/>
              </w:rPr>
              <w:t xml:space="preserve"> von Patient:innen (z. B. Chatbots, digitale Assistenten)</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Comunicazione automatizzata</w:t>
            </w:r>
            <w:r>
              <w:rPr>
                <w:rFonts w:ascii="Times New Roman" w:cs="Times New Roman" w:eastAsia="Times New Roman" w:hAnsi="Times New Roman"/>
                <w:sz w:val="16"/>
                <w:szCs w:val="16"/>
              </w:rPr>
              <w:t xml:space="preserve"> con i pazienti (chatbot, assistenti virtuali).</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A</w:t>
            </w:r>
            <w:r>
              <w:rPr>
                <w:rFonts w:ascii="Times New Roman" w:cs="Times New Roman" w:eastAsia="Times New Roman" w:hAnsi="Times New Roman"/>
                <w:sz w:val="16"/>
                <w:szCs w:val="16"/>
              </w:rPr>
              <w:t xml:space="preserve"> — information and education replaced by automated communication</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E4_SQ012</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Pflegeunterstützung / </w:t>
            </w:r>
            <w:r>
              <w:rPr>
                <w:rFonts w:ascii="Times New Roman" w:cs="Times New Roman" w:eastAsia="Times New Roman" w:hAnsi="Times New Roman"/>
                <w:b/>
                <w:bCs/>
                <w:sz w:val="16"/>
                <w:szCs w:val="16"/>
              </w:rPr>
              <w:t xml:space="preserve">Durchführung</w:t>
            </w:r>
            <w:r>
              <w:rPr>
                <w:rFonts w:ascii="Times New Roman" w:cs="Times New Roman" w:eastAsia="Times New Roman" w:hAnsi="Times New Roman"/>
                <w:sz w:val="16"/>
                <w:szCs w:val="16"/>
              </w:rPr>
              <w:t xml:space="preserve"> von pflegerischen Maßnahmen (z. B. Überwachung nach operativen Eingriffen oder zu Hause)</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Assistenza nelle attività infermieristiche (ad esempio monitoraggio dopo interventi chirurgici o a casa).</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B</w:t>
            </w:r>
            <w:r>
              <w:rPr>
                <w:rFonts w:ascii="Times New Roman" w:cs="Times New Roman" w:eastAsia="Times New Roman" w:hAnsi="Times New Roman"/>
                <w:sz w:val="16"/>
                <w:szCs w:val="16"/>
              </w:rPr>
              <w:t xml:space="preserve"> — "performance of nursing measures" omitted</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E4_SQ013</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Chirurgische Eingriffe (z. B. Robotische Systeme)</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Procedure chirurgiche (ad esempio, sistemi robotici).</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E4_SQ014</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Automatische Erinnerung für die Einnahme von Medikamenten</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Promemoria automatizzati per l'assunzione di farmaci.</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E4_SQ015</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Verwaltung der elektronischen Gesundheitsakte</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Gestione di cartelle cliniche elettroniche.</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E4_SQ016</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Planung und Koordination von Behandlungsabläufen</w:t>
            </w:r>
            <w:r>
              <w:rPr>
                <w:rFonts w:ascii="Times New Roman" w:cs="Times New Roman" w:eastAsia="Times New Roman" w:hAnsi="Times New Roman"/>
                <w:sz w:val="16"/>
                <w:szCs w:val="16"/>
              </w:rPr>
              <w:t xml:space="preserve"> zwischen Abteilungen und Fachpersonen</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Coordinamento</w:t>
            </w:r>
            <w:r>
              <w:rPr>
                <w:rFonts w:ascii="Times New Roman" w:cs="Times New Roman" w:eastAsia="Times New Roman" w:hAnsi="Times New Roman"/>
                <w:sz w:val="16"/>
                <w:szCs w:val="16"/>
              </w:rPr>
              <w:t xml:space="preserve"> tra diversi reparti o professionisti.</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A</w:t>
            </w:r>
            <w:r>
              <w:rPr>
                <w:rFonts w:ascii="Times New Roman" w:cs="Times New Roman" w:eastAsia="Times New Roman" w:hAnsi="Times New Roman"/>
                <w:sz w:val="16"/>
                <w:szCs w:val="16"/>
              </w:rPr>
              <w:t xml:space="preserve"> — planning component omitted</w:t>
            </w:r>
          </w:p>
        </w:tc>
      </w:tr>
    </w:tbl>
    <w:p>
      <w:pPr>
        <w:spacing w:after="160"/>
      </w:pPr>
    </w:p>
    <w:p>
      <w:pPr>
        <w:spacing w:after="160" w:line="360"/>
      </w:pPr>
      <w:r>
        <w:rPr>
          <w:rFonts w:ascii="Times New Roman" w:cs="Times New Roman" w:eastAsia="Times New Roman" w:hAnsi="Times New Roman"/>
          <w:sz w:val="22"/>
          <w:szCs w:val="22"/>
        </w:rPr>
        <w:t xml:space="preserve">Type </w:t>
      </w:r>
      <w:r>
        <w:rPr>
          <w:rFonts w:ascii="Times New Roman" w:cs="Times New Roman" w:eastAsia="Times New Roman" w:hAnsi="Times New Roman"/>
          <w:b/>
          <w:bCs/>
          <w:sz w:val="22"/>
          <w:szCs w:val="22"/>
        </w:rPr>
        <w:t xml:space="preserve">A</w:t>
      </w:r>
      <w:r>
        <w:rPr>
          <w:rFonts w:ascii="Times New Roman" w:cs="Times New Roman" w:eastAsia="Times New Roman" w:hAnsi="Times New Roman"/>
          <w:sz w:val="22"/>
          <w:szCs w:val="22"/>
        </w:rPr>
        <w:t xml:space="preserve"> marks a shift in the scope of the application described (3 items); type </w:t>
      </w:r>
      <w:r>
        <w:rPr>
          <w:rFonts w:ascii="Times New Roman" w:cs="Times New Roman" w:eastAsia="Times New Roman" w:hAnsi="Times New Roman"/>
          <w:b/>
          <w:bCs/>
          <w:sz w:val="22"/>
          <w:szCs w:val="22"/>
        </w:rPr>
        <w:t xml:space="preserve">B</w:t>
      </w:r>
      <w:r>
        <w:rPr>
          <w:rFonts w:ascii="Times New Roman" w:cs="Times New Roman" w:eastAsia="Times New Roman" w:hAnsi="Times New Roman"/>
          <w:sz w:val="22"/>
          <w:szCs w:val="22"/>
        </w:rPr>
        <w:t xml:space="preserve"> marks the omission of a qualifier (2 items). All five are treated as culturally adapted translations in the manuscript. None of the five reaches the relevance criterion for differential item functioning between the language groups (Additional file 6, section 6.1).</w:t>
      </w:r>
    </w:p>
    <w:p>
      <w:pPr>
        <w:spacing w:after="160" w:line="360"/>
      </w:pPr>
      <w:r>
        <w:rPr>
          <w:rFonts w:ascii="Times New Roman" w:cs="Times New Roman" w:eastAsia="Times New Roman" w:hAnsi="Times New Roman"/>
          <w:sz w:val="22"/>
          <w:szCs w:val="22"/>
          <w:highlight w:val="yellow"/>
        </w:rPr>
        <w:t xml:space="preserve">[LÜCKE: Die Zuordnung der Itemcodes zu den Zeilen des Fragebogens ist aus der Reihenfolge der beiden PDF-Fassungen erschlossen und vom Erstautor gegen das LimeSurvey-Logic-File zu bestätigen.]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rFonts w:ascii="Times New Roman" w:cs="Times New Roman" w:eastAsia="Times New Roman" w:hAnsi="Times New Roman"/>
        <w:color w:val="5a5a5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2 — manuscript draft</dc:title>
  <dc:creator>ASTAT KI Gesundheitsversorgung 2026</dc:creator>
  <cp:lastModifiedBy>Un-named</cp:lastModifiedBy>
  <cp:revision>1</cp:revision>
  <dcterms:created xsi:type="dcterms:W3CDTF">2026-08-09T14:52:36.590Z</dcterms:created>
  <dcterms:modified xsi:type="dcterms:W3CDTF">2026-08-09T14:52:36.590Z</dcterms:modified>
</cp:coreProperties>
</file>

<file path=docProps/custom.xml><?xml version="1.0" encoding="utf-8"?>
<Properties xmlns="http://schemas.openxmlformats.org/officeDocument/2006/custom-properties" xmlns:vt="http://schemas.openxmlformats.org/officeDocument/2006/docPropsVTypes"/>
</file>