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line="360"/>
      </w:pPr>
      <w:r>
        <w:rPr>
          <w:rFonts w:ascii="Times New Roman" w:cs="Times New Roman" w:eastAsia="Times New Roman" w:hAnsi="Times New Roman"/>
          <w:sz w:val="26"/>
          <w:szCs w:val="26"/>
        </w:rPr>
        <w:t xml:space="preserve">Additional file 8</w:t>
      </w:r>
    </w:p>
    <w:p>
      <w:pPr>
        <w:pStyle w:val="Heading2"/>
        <w:spacing w:after="160" w:line="360"/>
      </w:pPr>
      <w:r>
        <w:rPr>
          <w:rFonts w:ascii="Times New Roman" w:cs="Times New Roman" w:eastAsia="Times New Roman" w:hAnsi="Times New Roman"/>
          <w:sz w:val="24"/>
          <w:szCs w:val="24"/>
        </w:rPr>
        <w:t xml:space="preserve">Item-response probabilities by latent class</w:t>
      </w:r>
    </w:p>
    <w:p>
      <w:pPr>
        <w:spacing w:after="160" w:line="360"/>
      </w:pPr>
      <w:r>
        <w:rPr>
          <w:rFonts w:ascii="Times New Roman" w:cs="Times New Roman" w:eastAsia="Times New Roman" w:hAnsi="Times New Roman"/>
          <w:i/>
          <w:iCs/>
          <w:sz w:val="22"/>
          <w:szCs w:val="22"/>
        </w:rPr>
        <w:t xml:space="preserve">Public acceptance of artificial intelligence in health care: a cumulative hierarchy in a 16-item instrument, German–Italian measurement equivalence, and a five-item short form</w:t>
      </w:r>
    </w:p>
    <w:p>
      <w:pPr>
        <w:spacing w:after="160" w:line="360"/>
      </w:pPr>
      <w:r>
        <w:rPr>
          <w:rFonts w:ascii="Times New Roman" w:cs="Times New Roman" w:eastAsia="Times New Roman" w:hAnsi="Times New Roman"/>
          <w:sz w:val="20"/>
          <w:szCs w:val="20"/>
        </w:rPr>
        <w:t xml:space="preserve">All values were computed in R 4.5.1 on 9 August 2026 and are reproduced here unchanged from the analysis output files. Decimal separators have been converted from comma to point; no value has been recomputed, rounded further or derived. The complete analysis code is provided as Additional file 3.</w:t>
      </w:r>
    </w:p>
    <w:p>
      <w:pPr>
        <w:spacing w:after="160" w:line="360"/>
      </w:pPr>
      <w:r>
        <w:rPr>
          <w:rFonts w:ascii="Times New Roman" w:cs="Times New Roman" w:eastAsia="Times New Roman" w:hAnsi="Times New Roman"/>
          <w:sz w:val="22"/>
          <w:szCs w:val="22"/>
        </w:rPr>
        <w:t xml:space="preserve">Probability of accepting each application within each of the four latent classes, four-class solution on the full sample. Classes are ordered by mean acceptance.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6"/>
      </w:tblGrid>
      <w:tr>
        <w:trPr>
          <w:tblHeader/>
        </w:trPr>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Item</w:t>
            </w:r>
          </w:p>
        </w:tc>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Application</w:t>
            </w:r>
          </w:p>
        </w:tc>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Class 1 (rejecting)</w:t>
            </w:r>
          </w:p>
        </w:tc>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Class 2 (administrative)</w:t>
            </w:r>
          </w:p>
        </w:tc>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Class 3 (broadly accepting)</w:t>
            </w:r>
          </w:p>
        </w:tc>
        <w:tc>
          <w:tcPr>
            <w:tcW w:type="dxa" w:w="150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Class 4 (comprehensive)</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Appointment scheduling and organization</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0.772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0.871</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0.936</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Documentation of findings, visits, or therapy</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0.473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0.773</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0.964</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Monitoring of vital parameters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0.338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0.725</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Evaluation of diagnostic tests (eg, x-ray, CT)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0.204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0.674</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0.957</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diagnosis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0.275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0.697</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0.959</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individualized treatment plans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0.237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0.712</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Risk assessment and prognosis in chronic disease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0.187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0.619</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0.979</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Analysis of clinical data (patterns, anomalies)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0.483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0.893</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medical emergencies and triage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0.424</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0.966</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urgent decisions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0.338</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0.897</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Patient information and education (chatbots)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0.256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0.44</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0.843</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Nursing support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0.154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0.517</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0.957</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Surgical procedures using robotic systems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0.212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0.514</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0.898</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Automated medication reminders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0.129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0.857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0.914</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0.984</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Management of the electronic health record</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0.632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0.823</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Planning and coordination of treatment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0.474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0.804</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w:t>
            </w:r>
          </w:p>
        </w:tc>
      </w:tr>
    </w:tbl>
    <w:p>
      <w:pPr>
        <w:spacing w:after="160"/>
      </w:pPr>
    </w:p>
    <w:p>
      <w:pPr>
        <w:spacing w:after="160" w:line="360"/>
      </w:pPr>
      <w:r>
        <w:rPr>
          <w:rFonts w:ascii="Times New Roman" w:cs="Times New Roman" w:eastAsia="Times New Roman" w:hAnsi="Times New Roman"/>
          <w:sz w:val="22"/>
          <w:szCs w:val="22"/>
        </w:rPr>
        <w:t xml:space="preserve">Class sizes and mean acceptance: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8"/>
      </w:tblGrid>
      <w:tr>
        <w:trPr>
          <w:tblHeader/>
        </w:trPr>
        <w:tc>
          <w:tcPr>
            <w:tcW w:type="dxa" w:w="225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Class</w:t>
            </w:r>
          </w:p>
        </w:tc>
        <w:tc>
          <w:tcPr>
            <w:tcW w:type="dxa" w:w="225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Share of the model-based distribution, %</w:t>
            </w:r>
          </w:p>
        </w:tc>
        <w:tc>
          <w:tcPr>
            <w:tcW w:type="dxa" w:w="225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n by modal assignment</w:t>
            </w:r>
          </w:p>
        </w:tc>
        <w:tc>
          <w:tcPr>
            <w:tcW w:type="dxa" w:w="225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Mean number of applications accepted (of 16)</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1</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13.6</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127</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0.43</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2</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29.7</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266</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5.62</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3</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43</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384</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10.84</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4</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13.7</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124</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15.4</w:t>
            </w:r>
          </w:p>
        </w:tc>
      </w:tr>
    </w:tbl>
    <w:p>
      <w:pPr>
        <w:spacing w:after="160"/>
      </w:pPr>
    </w:p>
    <w:p>
      <w:pPr>
        <w:spacing w:after="160" w:line="360"/>
      </w:pPr>
      <w:r>
        <w:rPr>
          <w:rFonts w:ascii="Times New Roman" w:cs="Times New Roman" w:eastAsia="Times New Roman" w:hAnsi="Times New Roman"/>
          <w:sz w:val="22"/>
          <w:szCs w:val="22"/>
        </w:rPr>
        <w:t xml:space="preserve">Weighted and unweighted class shares under modal assignment, with mean posterior probability: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8"/>
      </w:tblGrid>
      <w:tr>
        <w:trPr>
          <w:tblHeader/>
        </w:trPr>
        <w:tc>
          <w:tcPr>
            <w:tcW w:type="dxa" w:w="225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Class</w:t>
            </w:r>
          </w:p>
        </w:tc>
        <w:tc>
          <w:tcPr>
            <w:tcW w:type="dxa" w:w="225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Unweighted, %</w:t>
            </w:r>
          </w:p>
        </w:tc>
        <w:tc>
          <w:tcPr>
            <w:tcW w:type="dxa" w:w="225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Weighted, %</w:t>
            </w:r>
          </w:p>
        </w:tc>
        <w:tc>
          <w:tcPr>
            <w:tcW w:type="dxa" w:w="225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Mean posterior probability</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1</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14.1</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14.4</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0.954</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2</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29.5</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29.4</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0.896</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3</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42.6</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42.6</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0.919</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4</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13.8</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13.6</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0.937</w:t>
            </w:r>
          </w:p>
        </w:tc>
      </w:tr>
    </w:tbl>
    <w:p>
      <w:pPr>
        <w:spacing w:after="160"/>
      </w:pPr>
    </w:p>
    <w:p>
      <w:pPr>
        <w:spacing w:after="160" w:line="360"/>
      </w:pPr>
      <w:r>
        <w:rPr>
          <w:rFonts w:ascii="Times New Roman" w:cs="Times New Roman" w:eastAsia="Times New Roman" w:hAnsi="Times New Roman"/>
          <w:sz w:val="22"/>
          <w:szCs w:val="22"/>
        </w:rPr>
        <w:t xml:space="preserve">Age composition of the classes, descriptive (row percentages):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8"/>
      </w:tblGrid>
      <w:tr>
        <w:trPr>
          <w:tblHeader/>
        </w:trPr>
        <w:tc>
          <w:tcPr>
            <w:tcW w:type="dxa" w:w="225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Class</w:t>
            </w:r>
          </w:p>
        </w:tc>
        <w:tc>
          <w:tcPr>
            <w:tcW w:type="dxa" w:w="225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18–40 years, %</w:t>
            </w:r>
          </w:p>
        </w:tc>
        <w:tc>
          <w:tcPr>
            <w:tcW w:type="dxa" w:w="225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41–60 years, %</w:t>
            </w:r>
          </w:p>
        </w:tc>
        <w:tc>
          <w:tcPr>
            <w:tcW w:type="dxa" w:w="225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61–80 years, %</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1</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28.3</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35.4</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36.2</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2</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35.3</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44.7</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19.9</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3</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31.5</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40.4</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28.1</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4</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29</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38.7</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32.3</w:t>
            </w:r>
          </w:p>
        </w:tc>
      </w:tr>
    </w:tbl>
    <w:p>
      <w:pPr>
        <w:spacing w:after="160"/>
      </w:pPr>
    </w:p>
    <w:p>
      <w:pPr>
        <w:spacing w:after="160" w:line="360"/>
      </w:pPr>
      <w:r>
        <w:rPr>
          <w:rFonts w:ascii="Times New Roman" w:cs="Times New Roman" w:eastAsia="Times New Roman" w:hAnsi="Times New Roman"/>
          <w:sz w:val="22"/>
          <w:szCs w:val="22"/>
        </w:rPr>
        <w:t xml:space="preserve">For comparison, respondents aged 61 to 80 constitute 27.4% of the full sample. The adjusted analysis in Additional file 10 reverses this descriptive pattern for the rejecting class. For the administratively oriented class the adjusted result agrees with the descriptive under-representation, and for the comprehensively accepting class the direction is unchanged.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120"/>
      <w:jc w:val="center"/>
    </w:pPr>
    <w:r>
      <w:rPr>
        <w:rFonts w:ascii="Times New Roman" w:cs="Times New Roman" w:eastAsia="Times New Roman" w:hAnsi="Times New Roman"/>
        <w:color w:val="5a5a5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2 — manuscript draft</dc:title>
  <dc:creator>ASTAT KI Gesundheitsversorgung 2026</dc:creator>
  <cp:lastModifiedBy>Un-named</cp:lastModifiedBy>
  <cp:revision>1</cp:revision>
  <dcterms:created xsi:type="dcterms:W3CDTF">2026-08-09T14:52:36.590Z</dcterms:created>
  <dcterms:modified xsi:type="dcterms:W3CDTF">2026-08-09T14:52:36.590Z</dcterms:modified>
</cp:coreProperties>
</file>

<file path=docProps/custom.xml><?xml version="1.0" encoding="utf-8"?>
<Properties xmlns="http://schemas.openxmlformats.org/officeDocument/2006/custom-properties" xmlns:vt="http://schemas.openxmlformats.org/officeDocument/2006/docPropsVTypes"/>
</file>