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line="360"/>
      </w:pPr>
      <w:r>
        <w:rPr>
          <w:rFonts w:ascii="Times New Roman" w:cs="Times New Roman" w:eastAsia="Times New Roman" w:hAnsi="Times New Roman"/>
          <w:sz w:val="26"/>
          <w:szCs w:val="26"/>
        </w:rPr>
        <w:t xml:space="preserve">Additional file 11</w:t>
      </w:r>
    </w:p>
    <w:p>
      <w:pPr>
        <w:pStyle w:val="Heading2"/>
        <w:spacing w:after="160" w:line="360"/>
      </w:pPr>
      <w:r>
        <w:rPr>
          <w:rFonts w:ascii="Times New Roman" w:cs="Times New Roman" w:eastAsia="Times New Roman" w:hAnsi="Times New Roman"/>
          <w:sz w:val="24"/>
          <w:szCs w:val="24"/>
        </w:rPr>
        <w:t xml:space="preserve">Sensitivity analysis: uncertainty responses treated as missing</w:t>
      </w:r>
    </w:p>
    <w:p>
      <w:pPr>
        <w:spacing w:after="160" w:line="360"/>
      </w:pPr>
      <w:r>
        <w:rPr>
          <w:rFonts w:ascii="Times New Roman" w:cs="Times New Roman" w:eastAsia="Times New Roman" w:hAnsi="Times New Roman"/>
          <w:i/>
          <w:iCs/>
          <w:sz w:val="22"/>
          <w:szCs w:val="22"/>
        </w:rPr>
        <w:t xml:space="preserve">Public acceptance of artificial intelligence in health care: a cumulative hierarchy in a 16-item instrument, German–Italian measurement equivalence, and a five-item short form</w:t>
      </w:r>
    </w:p>
    <w:p>
      <w:pPr>
        <w:spacing w:after="160" w:line="360"/>
      </w:pPr>
      <w:r>
        <w:rPr>
          <w:rFonts w:ascii="Times New Roman" w:cs="Times New Roman" w:eastAsia="Times New Roman" w:hAnsi="Times New Roman"/>
          <w:sz w:val="20"/>
          <w:szCs w:val="20"/>
        </w:rPr>
        <w:t xml:space="preserve">All values were computed in R 4.5.1 on 9 August 2026 and are reproduced here unchanged from the analysis output files. Decimal separators have been converted from comma to point; no value has been recomputed, rounded further or derived. The complete analysis code is provided as Additional file 3.</w:t>
      </w:r>
    </w:p>
    <w:p>
      <w:pPr>
        <w:spacing w:after="160" w:line="360"/>
      </w:pPr>
      <w:r>
        <w:rPr>
          <w:rFonts w:ascii="Times New Roman" w:cs="Times New Roman" w:eastAsia="Times New Roman" w:hAnsi="Times New Roman"/>
          <w:sz w:val="22"/>
          <w:szCs w:val="22"/>
        </w:rPr>
        <w:t xml:space="preserve">The main analyses score both uncertainty categories — </w:t>
      </w:r>
      <w:r>
        <w:rPr>
          <w:rFonts w:ascii="Times New Roman" w:cs="Times New Roman" w:eastAsia="Times New Roman" w:hAnsi="Times New Roman"/>
          <w:i/>
          <w:iCs/>
          <w:sz w:val="22"/>
          <w:szCs w:val="22"/>
        </w:rPr>
        <w:t xml:space="preserve">don't know</w:t>
      </w:r>
      <w:r>
        <w:rPr>
          <w:rFonts w:ascii="Times New Roman" w:cs="Times New Roman" w:eastAsia="Times New Roman" w:hAnsi="Times New Roman"/>
          <w:sz w:val="22"/>
          <w:szCs w:val="22"/>
        </w:rPr>
        <w:t xml:space="preserve"> and </w:t>
      </w:r>
      <w:r>
        <w:rPr>
          <w:rFonts w:ascii="Times New Roman" w:cs="Times New Roman" w:eastAsia="Times New Roman" w:hAnsi="Times New Roman"/>
          <w:i/>
          <w:iCs/>
          <w:sz w:val="22"/>
          <w:szCs w:val="22"/>
        </w:rPr>
        <w:t xml:space="preserve">not familiar with this aspect</w:t>
      </w:r>
      <w:r>
        <w:rPr>
          <w:rFonts w:ascii="Times New Roman" w:cs="Times New Roman" w:eastAsia="Times New Roman" w:hAnsi="Times New Roman"/>
          <w:sz w:val="22"/>
          <w:szCs w:val="22"/>
        </w:rPr>
        <w:t xml:space="preserve"> — as non-acceptance. This section reports the alternative treatment, in which both are set to missing, leaving 199 respondents with complete data across all 16 items. All values below were computed in the supplementary run of 9 August 2026 (</w:t>
      </w:r>
      <w:r>
        <w:rPr>
          <w:rFonts w:ascii="Consolas" w:cs="Consolas" w:eastAsia="Consolas" w:hAnsi="Consolas"/>
          <w:sz w:val="20"/>
          <w:szCs w:val="20"/>
        </w:rPr>
        <w:t xml:space="preserve">06_Nachtraege.R</w:t>
      </w:r>
      <w:r>
        <w:rPr>
          <w:rFonts w:ascii="Times New Roman" w:cs="Times New Roman" w:eastAsia="Times New Roman" w:hAnsi="Times New Roman"/>
          <w:sz w:val="22"/>
          <w:szCs w:val="22"/>
        </w:rPr>
        <w:t xml:space="preserve">), which reproduced the seven control values of the main run exactly.</w:t>
      </w:r>
    </w:p>
    <w:p>
      <w:pPr>
        <w:pStyle w:val="Heading2"/>
        <w:spacing w:after="140" w:before="240" w:line="360"/>
      </w:pPr>
      <w:r>
        <w:rPr>
          <w:rFonts w:ascii="Times New Roman" w:cs="Times New Roman" w:eastAsia="Times New Roman" w:hAnsi="Times New Roman"/>
          <w:b/>
          <w:bCs/>
          <w:sz w:val="22"/>
          <w:szCs w:val="22"/>
        </w:rPr>
        <w:t xml:space="preserve">11.1 Comparison of the two dichotomisations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tblHeader/>
        </w:trPr>
        <w:tc>
          <w:tcPr>
            <w:tcW w:type="dxa" w:w="300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Quantity</w:t>
            </w:r>
          </w:p>
        </w:tc>
        <w:tc>
          <w:tcPr>
            <w:tcW w:type="dxa" w:w="300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Variant A (uncertainty = non-acceptance)</w:t>
            </w:r>
          </w:p>
        </w:tc>
        <w:tc>
          <w:tcPr>
            <w:tcW w:type="dxa" w:w="3010"/>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Variant B (uncertainty = missing)</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 analysed (listwise)</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901</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199</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Missing values across the 16 items, full sample of 901</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4197</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Loevinger H</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0.491</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0.637</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H</w:t>
            </w:r>
            <w:r>
              <w:rPr>
                <w:rFonts w:ascii="Times New Roman" w:cs="Times New Roman" w:eastAsia="Times New Roman" w:hAnsi="Times New Roman"/>
                <w:sz w:val="16"/>
                <w:szCs w:val="16"/>
                <w:vertAlign w:val="superscript"/>
              </w:rPr>
              <w:t xml:space="preserve">T</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0.267</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0.240</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Smallest H</w:t>
            </w:r>
            <w:r>
              <w:rPr>
                <w:rFonts w:ascii="Times New Roman" w:cs="Times New Roman" w:eastAsia="Times New Roman" w:hAnsi="Times New Roman"/>
                <w:sz w:val="16"/>
                <w:szCs w:val="16"/>
                <w:vertAlign w:val="subscript"/>
              </w:rPr>
              <w:t xml:space="preserve">i</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0.393</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0.518</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Largest H</w:t>
            </w:r>
            <w:r>
              <w:rPr>
                <w:rFonts w:ascii="Times New Roman" w:cs="Times New Roman" w:eastAsia="Times New Roman" w:hAnsi="Times New Roman"/>
                <w:sz w:val="16"/>
                <w:szCs w:val="16"/>
                <w:vertAlign w:val="subscript"/>
              </w:rPr>
              <w:t xml:space="preserve">i</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0.613</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0.733</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Items below H</w:t>
            </w:r>
            <w:r>
              <w:rPr>
                <w:rFonts w:ascii="Times New Roman" w:cs="Times New Roman" w:eastAsia="Times New Roman" w:hAnsi="Times New Roman"/>
                <w:sz w:val="16"/>
                <w:szCs w:val="16"/>
                <w:vertAlign w:val="subscript"/>
              </w:rPr>
              <w:t xml:space="preserve">i</w:t>
            </w:r>
            <w:r>
              <w:rPr>
                <w:rFonts w:ascii="Times New Roman" w:cs="Times New Roman" w:eastAsia="Times New Roman" w:hAnsi="Times New Roman"/>
                <w:sz w:val="16"/>
                <w:szCs w:val="16"/>
              </w:rPr>
              <w:t xml:space="preserve"> = 0.30</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Rank correlation of item difficulties with variant A</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0.968</w:t>
            </w:r>
          </w:p>
        </w:tc>
      </w:tr>
    </w:tbl>
    <w:p>
      <w:pPr>
        <w:spacing w:after="160"/>
      </w:pPr>
    </w:p>
    <w:p>
      <w:pPr>
        <w:spacing w:after="160" w:line="360"/>
      </w:pPr>
      <w:r>
        <w:rPr>
          <w:rFonts w:ascii="Times New Roman" w:cs="Times New Roman" w:eastAsia="Times New Roman" w:hAnsi="Times New Roman"/>
          <w:sz w:val="22"/>
          <w:szCs w:val="22"/>
        </w:rPr>
        <w:t xml:space="preserve">Two results deserve attention. Scalability rises substantially under variant B, from H = 0.491 to H = 0.637, and every item coefficient rises with it. </w:t>
      </w:r>
      <w:r>
        <w:rPr>
          <w:rFonts w:ascii="Times New Roman" w:cs="Times New Roman" w:eastAsia="Times New Roman" w:hAnsi="Times New Roman"/>
          <w:sz w:val="22"/>
          <w:szCs w:val="22"/>
        </w:rPr>
        <w:t xml:space="preserve">Person ordering moves in the opposite direction: H</w:t>
      </w:r>
      <w:r>
        <w:rPr>
          <w:rFonts w:ascii="Times New Roman" w:cs="Times New Roman" w:eastAsia="Times New Roman" w:hAnsi="Times New Roman"/>
          <w:sz w:val="22"/>
          <w:szCs w:val="22"/>
          <w:vertAlign w:val="superscript"/>
        </w:rPr>
        <w:t xml:space="preserve">T</w:t>
      </w:r>
      <w:r>
        <w:rPr>
          <w:rFonts w:ascii="Times New Roman" w:cs="Times New Roman" w:eastAsia="Times New Roman" w:hAnsi="Times New Roman"/>
          <w:sz w:val="22"/>
          <w:szCs w:val="22"/>
        </w:rPr>
        <w:t xml:space="preserve"> falls from 0.267 to 0.240, so that both values lie below the level at which invariant item ordering is conventionally regarded as supported.</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rPr>
        <w:t xml:space="preserve">The higher scalability coefficient therefore does not indicate a better-functioning scale. Both movements are properties of the complete-case subsample rather than of the scoring rule, and 11.3 separates the two: scoring uncertainty as missing raises acceptance on every item without disturbing the ordering, whereas restricting the analysis to complete cases compresses the difficulty range from 0.52 to 0.32 and so removes the spread on which person ordering depends.</w:t>
      </w:r>
    </w:p>
    <w:p>
      <w:pPr>
        <w:pStyle w:val="Heading2"/>
        <w:spacing w:after="140" w:before="240" w:line="360"/>
      </w:pPr>
      <w:r>
        <w:rPr>
          <w:rFonts w:ascii="Times New Roman" w:cs="Times New Roman" w:eastAsia="Times New Roman" w:hAnsi="Times New Roman"/>
          <w:b/>
          <w:bCs/>
          <w:sz w:val="22"/>
          <w:szCs w:val="22"/>
        </w:rPr>
        <w:t xml:space="preserve">11.2 Item coefficients under variant B</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6"/>
      </w:tblGrid>
      <w:tr>
        <w:trPr>
          <w:tblHeader/>
        </w:trPr>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Item</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Application</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H</w:t>
            </w:r>
            <w:r>
              <w:rPr>
                <w:rFonts w:ascii="Times New Roman" w:cs="Times New Roman" w:eastAsia="Times New Roman" w:hAnsi="Times New Roman"/>
                <w:b/>
                <w:bCs/>
                <w:sz w:val="16"/>
                <w:szCs w:val="16"/>
                <w:vertAlign w:val="subscript"/>
              </w:rPr>
              <w:t xml:space="preserve">i</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SE</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Acceptance among the 199 complete cases</w:t>
            </w:r>
          </w:p>
        </w:tc>
        <w:tc>
          <w:tcPr>
            <w:tcW w:type="dxa" w:w="150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Substantive answers, of 901</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0.729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0.844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776</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0.829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746</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0.809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649</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0.701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0.804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689</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0.586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0.779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715</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0.764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681</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0.671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0.714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615</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0.607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0.709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612</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0.635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0.683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643</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0.612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0.673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580</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0.584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0.653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577</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0.607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0.643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623</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0.633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616</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0.642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0.603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577</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551</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0.733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0.528</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569</w:t>
            </w:r>
          </w:p>
        </w:tc>
      </w:tr>
    </w:tbl>
    <w:p>
      <w:pPr>
        <w:spacing w:after="160"/>
      </w:pPr>
    </w:p>
    <w:p>
      <w:pPr>
        <w:spacing w:after="160" w:line="360"/>
      </w:pPr>
      <w:r>
        <w:rPr>
          <w:rFonts w:ascii="Times New Roman" w:cs="Times New Roman" w:eastAsia="Times New Roman" w:hAnsi="Times New Roman"/>
          <w:sz w:val="22"/>
          <w:szCs w:val="22"/>
        </w:rPr>
        <w:t xml:space="preserve">No item falls below H</w:t>
      </w:r>
      <w:r>
        <w:rPr>
          <w:rFonts w:ascii="Times New Roman" w:cs="Times New Roman" w:eastAsia="Times New Roman" w:hAnsi="Times New Roman"/>
          <w:sz w:val="22"/>
          <w:szCs w:val="22"/>
          <w:vertAlign w:val="subscript"/>
        </w:rPr>
        <w:t xml:space="preserve">i</w:t>
      </w:r>
      <w:r>
        <w:rPr>
          <w:rFonts w:ascii="Times New Roman" w:cs="Times New Roman" w:eastAsia="Times New Roman" w:hAnsi="Times New Roman"/>
          <w:sz w:val="22"/>
          <w:szCs w:val="22"/>
        </w:rPr>
        <w:t xml:space="preserve"> = 0.30; the smallest coefficient is 0.518 (patient information through chatbots) and the largest 0.733 (support in urgent decisions). The smallest pairwise coefficient is H</w:t>
      </w:r>
      <w:r>
        <w:rPr>
          <w:rFonts w:ascii="Times New Roman" w:cs="Times New Roman" w:eastAsia="Times New Roman" w:hAnsi="Times New Roman"/>
          <w:sz w:val="22"/>
          <w:szCs w:val="22"/>
          <w:vertAlign w:val="subscript"/>
        </w:rPr>
        <w:t xml:space="preserve">ij</w:t>
      </w:r>
      <w:r>
        <w:rPr>
          <w:rFonts w:ascii="Times New Roman" w:cs="Times New Roman" w:eastAsia="Times New Roman" w:hAnsi="Times New Roman"/>
          <w:sz w:val="22"/>
          <w:szCs w:val="22"/>
        </w:rPr>
        <w:t xml:space="preserve"> = 0.374, with no negative pairs. Monotonicity holds without exception: no item shows a single violation and every crit value is 0.</w:t>
      </w:r>
    </w:p>
    <w:p>
      <w:pPr>
        <w:spacing w:after="160" w:line="360"/>
      </w:pPr>
      <w:r>
        <w:rPr>
          <w:rFonts w:ascii="Times New Roman" w:cs="Times New Roman" w:eastAsia="Times New Roman" w:hAnsi="Times New Roman"/>
          <w:sz w:val="22"/>
          <w:szCs w:val="22"/>
        </w:rPr>
        <w:t xml:space="preserve">The last column, which counts substantive answers within the full sample of 901, shows how unevenly the uncertainty responses are distributed across items. Medication reminders and appointment scheduling were answered substantively by 776 and 746 respondents, support in medical emergencies and triage by 551. The count tracks the acceptance hierarchy closely: the rank correlation between the acceptance proportion under variant A and the number of substantive answers is 0.93.</w:t>
      </w:r>
      <w:r>
        <w:rPr>
          <w:rFonts w:ascii="Times New Roman" w:cs="Times New Roman" w:eastAsia="Times New Roman" w:hAnsi="Times New Roman"/>
          <w:sz w:val="22"/>
          <w:szCs w:val="22"/>
        </w:rPr>
        <w:t xml:space="preserve"> The items at the difficult end of the scale are those on which respondents most often declined to take a position.</w:t>
      </w:r>
    </w:p>
    <w:p>
      <w:pPr>
        <w:pStyle w:val="Heading2"/>
        <w:spacing w:after="140" w:before="240" w:line="360"/>
      </w:pPr>
      <w:r>
        <w:rPr>
          <w:rFonts w:ascii="Times New Roman" w:cs="Times New Roman" w:eastAsia="Times New Roman" w:hAnsi="Times New Roman"/>
          <w:b/>
          <w:bCs/>
          <w:sz w:val="22"/>
          <w:szCs w:val="22"/>
        </w:rPr>
        <w:t xml:space="preserve">11.3 Does the hierarchy survive the alternative dichotomisation?</w:t>
      </w:r>
    </w:p>
    <w:p>
      <w:pPr>
        <w:spacing w:after="160" w:line="360"/>
      </w:pPr>
      <w:r>
        <w:rPr>
          <w:rFonts w:ascii="Times New Roman" w:cs="Times New Roman" w:eastAsia="Times New Roman" w:hAnsi="Times New Roman"/>
          <w:sz w:val="22"/>
          <w:szCs w:val="22"/>
        </w:rPr>
        <w:t xml:space="preserve">This is the question the sensitivity analysis is meant to answer, and answering it requires separating two things that a direct comparison of variant A with the complete-case subsample runs together: the scoring rule and the composition of the analysed sample. The table below reports both. Acceptance under variant B is given twice, once estimated item by item among the respondents who took a position on that item, which isolates the scoring rule, and once among the 199 respondents with complete data, which adds the effect of listwise deletion. Item by item the rank correlation of item difficulties with variant A is 0.985; among the complete cases it is 0.968. No item moves more than two places under either.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128"/>
        <w:gridCol w:w="1128"/>
        <w:gridCol w:w="1128"/>
        <w:gridCol w:w="1128"/>
        <w:gridCol w:w="1128"/>
        <w:gridCol w:w="1128"/>
        <w:gridCol w:w="1128"/>
        <w:gridCol w:w="1130"/>
      </w:tblGrid>
      <w:tr>
        <w:trPr>
          <w:tblHeader/>
        </w:trPr>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Item</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Application</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p, variant A (n = 901)</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p, variant B item-wise</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p, variant B complete cases (n = 199)</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Difference, scoring rule</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Difference, selection</w:t>
            </w:r>
          </w:p>
        </w:tc>
        <w:tc>
          <w:tcPr>
            <w:tcW w:type="dxa" w:w="1130"/>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Rank shift, item-wise</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0.800</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0.929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0.844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−0.085</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0.751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0.829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−0.078</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0.679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0.856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0.779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−0.077</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0.668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0.874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0.804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+0.206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−0.070</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0.624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0.866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0.809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+0.242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−0.057</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0.608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0.805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0.764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+0.197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−0.041</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0.773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0.683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+0.221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−0.089</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0.753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0.714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+0.239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−0.039</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0.755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0.709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+0.242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−0.046</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0.482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0.697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0.643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+0.215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−0.053</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0.709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0.673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+0.252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−0.035</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0.411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0.641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0.653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+0.231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+0.012</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0.401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0.626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0.603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+0.225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−0.023</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0.381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0.633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+0.076</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0.335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+0.213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−0.005</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E4_SQ010</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0.282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+0.165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+0.081</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r>
    </w:tbl>
    <w:p>
      <w:pPr>
        <w:spacing w:after="160"/>
      </w:pPr>
    </w:p>
    <w:p>
      <w:pPr>
        <w:spacing w:after="160" w:line="360"/>
      </w:pPr>
      <w:r>
        <w:rPr>
          <w:rFonts w:ascii="Times New Roman" w:cs="Times New Roman" w:eastAsia="Times New Roman" w:hAnsi="Times New Roman"/>
          <w:sz w:val="22"/>
          <w:szCs w:val="22"/>
        </w:rPr>
        <w:t xml:space="preserve">Scoring uncertainty as missing raises acceptance on every application, by between 12.9 and 25.2 percentage points with a mean of 20.5, because respondents who declined to take a position are excluded rather than counted as non-accepting. This increment is only weakly related to item difficulty (rho = −0.25 with the acceptance proportion under variant A), and the ordering is almost untouched: the four items at the extremes — medication reminders, appointment scheduling, emergencies and triage, urgent decisions — hold exactly the same ranks, and the largest movement anywhere is two places.</w:t>
      </w:r>
    </w:p>
    <w:p>
      <w:pPr>
        <w:spacing w:after="160" w:line="360"/>
      </w:pPr>
      <w:r>
        <w:rPr>
          <w:rFonts w:ascii="Times New Roman" w:cs="Times New Roman" w:eastAsia="Times New Roman" w:hAnsi="Times New Roman"/>
          <w:sz w:val="22"/>
          <w:szCs w:val="22"/>
        </w:rPr>
        <w:t xml:space="preserve">Listwise deletion adds a second component, smaller but differently directed. Relative to the item-wise estimates the complete cases are less accepting of the readily accepted applications, by up to 8.9 percentage points, and more accepting of the least accepted ones, by up to 8.1, and this difference is strongly ordered by item difficulty (rho = −0.89). The consequence is a compression of the scale: the span between the most and the least accepted application falls from 0.52 under variant A and 0.48 in the item-wise estimates to 0.32 among the complete cases. That compression, and not the scoring rule, is what the fall in the coefficient of invariant item ordering registers.</w:t>
      </w:r>
    </w:p>
    <w:p>
      <w:pPr>
        <w:spacing w:after="160" w:line="360"/>
      </w:pPr>
      <w:r>
        <w:rPr>
          <w:rFonts w:ascii="Times New Roman" w:cs="Times New Roman" w:eastAsia="Times New Roman" w:hAnsi="Times New Roman"/>
          <w:sz w:val="22"/>
          <w:szCs w:val="22"/>
        </w:rPr>
        <w:t xml:space="preserve">The combined difference of 4.4 to 25.2 percentage points between variant A and the complete-case estimates is therefore not a dichotomisation effect; at the median, 30 per cent of it is attributable to selection.</w:t>
      </w:r>
    </w:p>
    <w:p>
      <w:pPr>
        <w:spacing w:after="160" w:line="360"/>
      </w:pPr>
      <w:r>
        <w:rPr>
          <w:rFonts w:ascii="Times New Roman" w:cs="Times New Roman" w:eastAsia="Times New Roman" w:hAnsi="Times New Roman"/>
          <w:sz w:val="22"/>
          <w:szCs w:val="22"/>
        </w:rPr>
        <w:t xml:space="preserve">The cumulative hierarchy reported in the manuscript is therefore not an artefact of the decision to score uncertainty as non-acceptance. What that decision affects is the level of acceptance, not its structure.</w:t>
      </w:r>
    </w:p>
    <w:p>
      <w:pPr>
        <w:pStyle w:val="Heading2"/>
        <w:spacing w:after="140" w:before="240" w:line="360"/>
      </w:pPr>
      <w:r>
        <w:rPr>
          <w:rFonts w:ascii="Times New Roman" w:cs="Times New Roman" w:eastAsia="Times New Roman" w:hAnsi="Times New Roman"/>
          <w:b/>
          <w:bCs/>
          <w:sz w:val="22"/>
          <w:szCs w:val="22"/>
        </w:rPr>
        <w:t xml:space="preserve">11.4 Selectivity of the complete-case subsample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Characteristic</w:t>
            </w:r>
          </w:p>
        </w:tc>
        <w:tc>
          <w:tcPr>
            <w:tcW w:type="dxa" w:w="4513"/>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Value</w:t>
            </w:r>
          </w:p>
        </w:tc>
      </w:tr>
      <w:tr>
        <w:trPr>
          <w:tblHeader w:val="false"/>
        </w:trPr>
        <w:tc>
          <w:tcPr>
            <w:tcW w:type="dxa" w:w="4513"/>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Share of respondents with complete data on all 16 items</w:t>
            </w:r>
          </w:p>
        </w:tc>
        <w:tc>
          <w:tcPr>
            <w:tcW w:type="dxa" w:w="4513"/>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22.1%</w:t>
            </w:r>
          </w:p>
        </w:tc>
      </w:tr>
      <w:tr>
        <w:trPr>
          <w:tblHeader w:val="false"/>
        </w:trPr>
        <w:tc>
          <w:tcPr>
            <w:tcW w:type="dxa" w:w="4513"/>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Mean number of uncertainty responses per respondent</w:t>
            </w:r>
          </w:p>
        </w:tc>
        <w:tc>
          <w:tcPr>
            <w:tcW w:type="dxa" w:w="4513"/>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4.66</w:t>
            </w:r>
          </w:p>
        </w:tc>
      </w:tr>
      <w:tr>
        <w:trPr>
          <w:tblHeader w:val="false"/>
        </w:trPr>
        <w:tc>
          <w:tcPr>
            <w:tcW w:type="dxa" w:w="4513"/>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Median number of uncertainty responses per respondent</w:t>
            </w:r>
          </w:p>
        </w:tc>
        <w:tc>
          <w:tcPr>
            <w:tcW w:type="dxa" w:w="4513"/>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w:t>
            </w:r>
          </w:p>
        </w:tc>
      </w:tr>
      <w:tr>
        <w:trPr>
          <w:tblHeader w:val="false"/>
        </w:trPr>
        <w:tc>
          <w:tcPr>
            <w:tcW w:type="dxa" w:w="4513"/>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Respondents with no uncertainty response at all</w:t>
            </w:r>
          </w:p>
        </w:tc>
        <w:tc>
          <w:tcPr>
            <w:tcW w:type="dxa" w:w="4513"/>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199</w:t>
            </w:r>
          </w:p>
        </w:tc>
      </w:tr>
      <w:tr>
        <w:trPr>
          <w:tblHeader w:val="false"/>
        </w:trPr>
        <w:tc>
          <w:tcPr>
            <w:tcW w:type="dxa" w:w="4513"/>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Respondents with more than eight uncertainty responses</w:t>
            </w:r>
          </w:p>
        </w:tc>
        <w:tc>
          <w:tcPr>
            <w:tcW w:type="dxa" w:w="4513"/>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157</w:t>
            </w:r>
          </w:p>
        </w:tc>
      </w:tr>
    </w:tbl>
    <w:p>
      <w:pPr>
        <w:spacing w:after="160"/>
      </w:pPr>
    </w:p>
    <w:p>
      <w:pPr>
        <w:spacing w:after="160" w:line="360"/>
      </w:pPr>
      <w:r>
        <w:rPr>
          <w:rFonts w:ascii="Times New Roman" w:cs="Times New Roman" w:eastAsia="Times New Roman" w:hAnsi="Times New Roman"/>
          <w:sz w:val="22"/>
          <w:szCs w:val="22"/>
        </w:rPr>
        <w:t xml:space="preserve">Just over a fifth of the sample answered every item substantively, and 157 respondents — more than the number of complete cases — left more than half of the items unanswered in the substantive sense. Uncertainty responses were themselves patterned in this survey, being more frequent among women, among respondents with lower education and among infrequent AI users [2]. Variant B therefore does not constitute an equivalent analysis of the same population, and its coefficients are reported as a robustness indication rather than as an alternative estimate.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rFonts w:ascii="Times New Roman" w:cs="Times New Roman" w:eastAsia="Times New Roman" w:hAnsi="Times New Roman"/>
        <w:color w:val="5a5a5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2 — manuscript draft</dc:title>
  <dc:creator>ASTAT KI Gesundheitsversorgung 2026</dc:creator>
  <cp:lastModifiedBy>Un-named</cp:lastModifiedBy>
  <cp:revision>1</cp:revision>
  <dcterms:created xsi:type="dcterms:W3CDTF">2026-08-09T14:52:36.590Z</dcterms:created>
  <dcterms:modified xsi:type="dcterms:W3CDTF">2026-08-09T14:52:36.590Z</dcterms:modified>
</cp:coreProperties>
</file>

<file path=docProps/custom.xml><?xml version="1.0" encoding="utf-8"?>
<Properties xmlns="http://schemas.openxmlformats.org/officeDocument/2006/custom-properties" xmlns:vt="http://schemas.openxmlformats.org/officeDocument/2006/docPropsVTypes"/>
</file>