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4</w:t>
      </w:r>
    </w:p>
    <w:p>
      <w:pPr>
        <w:pStyle w:val="Heading2"/>
        <w:spacing w:after="160" w:line="360"/>
      </w:pPr>
      <w:r>
        <w:rPr>
          <w:rFonts w:ascii="Times New Roman" w:cs="Times New Roman" w:eastAsia="Times New Roman" w:hAnsi="Times New Roman"/>
          <w:sz w:val="24"/>
          <w:szCs w:val="24"/>
        </w:rPr>
        <w:t xml:space="preserve">Local independence</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and are reproduced here unchanged from the analysis output files. Decimal separators have been converted from comma to point; no value has been recomputed, rounded further or derived. The complete analysis code is provided as Additional file 3.</w:t>
      </w:r>
    </w:p>
    <w:p>
      <w:pPr>
        <w:pStyle w:val="Heading2"/>
        <w:spacing w:after="140" w:before="240" w:line="360"/>
      </w:pPr>
      <w:r>
        <w:rPr>
          <w:rFonts w:ascii="Times New Roman" w:cs="Times New Roman" w:eastAsia="Times New Roman" w:hAnsi="Times New Roman"/>
          <w:b/>
          <w:bCs/>
          <w:sz w:val="22"/>
          <w:szCs w:val="22"/>
        </w:rPr>
        <w:t xml:space="preserve">4.1 Yen's Q3 residual correlations, all 120 item pairs</w:t>
      </w:r>
    </w:p>
    <w:p>
      <w:pPr>
        <w:spacing w:after="160" w:line="360"/>
      </w:pPr>
      <w:r>
        <w:rPr>
          <w:rFonts w:ascii="Times New Roman" w:cs="Times New Roman" w:eastAsia="Times New Roman" w:hAnsi="Times New Roman"/>
          <w:sz w:val="22"/>
          <w:szCs w:val="22"/>
        </w:rPr>
        <w:t xml:space="preserve">Residual correlations after controlling for the rest score, computed on the full sample under variant A. The median across all 120 pairs is −0.074; centred values are Q3 minus this median, and the criterion for local dependence is a centred value above +0.20. Seven pairs exceed it. The range of the raw coefficients is −0.248 to +0.363. The same matrix is provided in 16 × 16 form as </w:t>
      </w:r>
      <w:r>
        <w:rPr>
          <w:rFonts w:ascii="Consolas" w:cs="Consolas" w:eastAsia="Consolas" w:hAnsi="Consolas"/>
          <w:sz w:val="20"/>
          <w:szCs w:val="20"/>
        </w:rPr>
        <w:t xml:space="preserve">06_Q3_Matrix_breit.csv</w:t>
      </w:r>
      <w:r>
        <w:rPr>
          <w:rFonts w:ascii="Times New Roman" w:cs="Times New Roman" w:eastAsia="Times New Roman" w:hAnsi="Times New Roman"/>
          <w:sz w:val="22"/>
          <w:szCs w:val="22"/>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6"/>
      </w:tblGrid>
      <w:tr>
        <w:trPr>
          <w:tblHeader/>
        </w:trPr>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 1</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 2</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Q3</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Q3 centred</w:t>
            </w:r>
          </w:p>
        </w:tc>
        <w:tc>
          <w:tcPr>
            <w:tcW w:type="dxa" w:w="15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Above criterion</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+0.363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+0.437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yes</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+0.304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yes</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+0.221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+0.295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yes</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yes</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+0.226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yes</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+0.218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yes</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yes</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+0.186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49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69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79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89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-0.087</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-0.099</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-0.101</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-0.102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111</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113</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-0.123</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-0.216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-0.142</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-0.224</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-0.150</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117</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-0.229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-0.240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-0.166</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-0.248</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-0.174</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
            </w:r>
          </w:p>
        </w:tc>
      </w:tr>
    </w:tbl>
    <w:p>
      <w:pPr>
        <w:spacing w:after="160"/>
      </w:pPr>
    </w:p>
    <w:p>
      <w:pPr>
        <w:spacing w:after="160" w:line="360"/>
      </w:pPr>
      <w:r>
        <w:rPr>
          <w:rFonts w:ascii="Times New Roman" w:cs="Times New Roman" w:eastAsia="Times New Roman" w:hAnsi="Times New Roman"/>
          <w:sz w:val="22"/>
          <w:szCs w:val="22"/>
        </w:rPr>
        <w:t xml:space="preserve">The pair of support in medical emergencies and triage with support in urgent decisions stands clearly apart at +0.437 centred, more than a third above the next value. Of the two pairs anticipated as dependent on content grounds, only this one is confirmed: support in diagnosis with evaluation of diagnostic tests reaches +0.080 centred and </w:t>
      </w:r>
      <w:r>
        <w:rPr>
          <w:rFonts w:ascii="Times New Roman" w:cs="Times New Roman" w:eastAsia="Times New Roman" w:hAnsi="Times New Roman"/>
          <w:sz w:val="22"/>
          <w:szCs w:val="22"/>
        </w:rPr>
        <w:t xml:space="preserve">ranks 27th of 120</w:t>
      </w:r>
      <w:r>
        <w:rPr>
          <w:rFonts w:ascii="Times New Roman" w:cs="Times New Roman" w:eastAsia="Times New Roman" w:hAnsi="Times New Roman"/>
          <w:sz w:val="22"/>
          <w:szCs w:val="22"/>
        </w:rPr>
        <w:t xml:space="preserve">.</w:t>
      </w:r>
    </w:p>
    <w:p>
      <w:pPr>
        <w:spacing w:after="160" w:line="360"/>
      </w:pPr>
      <w:r>
        <w:rPr>
          <w:rFonts w:ascii="Times New Roman" w:cs="Times New Roman" w:eastAsia="Times New Roman" w:hAnsi="Times New Roman"/>
          <w:sz w:val="22"/>
          <w:szCs w:val="22"/>
        </w:rPr>
        <w:t xml:space="preserve">Five of the six further pairs above the criterion involve administrative applications: appointment scheduling with documentation, medication reminders with the electronic health record, the electronic health record with planning and coordination, appointment scheduling with medication reminders, and documentation with the electronic health record. The sixth links support in diagnosis with individualised treatment plans and reflects shared clinical rather than administrative content. In each case the dependence reflects shared content rather than item redundancy in the strict sense</w:t>
      </w:r>
      <w:r>
        <w:rPr>
          <w:rFonts w:ascii="Times New Roman" w:cs="Times New Roman" w:eastAsia="Times New Roman" w:hAnsi="Times New Roman"/>
          <w:sz w:val="22"/>
          <w:szCs w:val="22"/>
        </w:rPr>
        <w:t xml:space="preserve">, and none of them affects the recommended short form, which contains at most one item from each of these pairs.</w:t>
      </w:r>
    </w:p>
    <w:p>
      <w:pPr>
        <w:pStyle w:val="Heading2"/>
        <w:spacing w:after="140" w:before="240" w:line="360"/>
      </w:pPr>
      <w:r>
        <w:rPr>
          <w:rFonts w:ascii="Times New Roman" w:cs="Times New Roman" w:eastAsia="Times New Roman" w:hAnsi="Times New Roman"/>
          <w:b/>
          <w:bCs/>
          <w:sz w:val="22"/>
          <w:szCs w:val="22"/>
        </w:rPr>
        <w:t xml:space="preserve">4.2 Conditional association procedure</w:t>
      </w:r>
    </w:p>
    <w:p>
      <w:pPr>
        <w:spacing w:after="160" w:line="360"/>
      </w:pPr>
      <w:r>
        <w:rPr>
          <w:rFonts w:ascii="Times New Roman" w:cs="Times New Roman" w:eastAsia="Times New Roman" w:hAnsi="Times New Roman"/>
          <w:sz w:val="22"/>
          <w:szCs w:val="22"/>
        </w:rPr>
        <w:t xml:space="preserve">The standard conditional-association check excluded 10 of the 16 items. This procedure is known to be liberal at this sample size; the result is reported for completeness and was not used for item selection.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10"/>
      </w:tblGrid>
      <w:tr>
        <w:trPr>
          <w:tblHeader/>
        </w:trPr>
        <w:tc>
          <w:tcPr>
            <w:tcW w:type="dxa" w:w="300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Item</w:t>
            </w:r>
          </w:p>
        </w:tc>
        <w:tc>
          <w:tcPr>
            <w:tcW w:type="dxa" w:w="300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Application</w:t>
            </w:r>
          </w:p>
        </w:tc>
        <w:tc>
          <w:tcPr>
            <w:tcW w:type="dxa" w:w="301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Excluded by check.ca</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E4_SQ001</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Appointment scheduling and organization</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E4_SQ002</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Documentation of findings, visits, or therapy</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E4_SQ003</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Monitoring of vital parameters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E4_SQ004</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Evaluation of diagnostic tests (eg, x-ray, CT)</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E4_SQ005</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diagnosis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E4_SQ006</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individualized treatment plans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E4_SQ007</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Risk assessment and prognosis in chronic disease</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E4_SQ008</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Analysis of clinical data (patterns, anomalies)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E4_SQ009</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medical emergencies and triage</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E4_SQ010</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Support in urgent decisions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E4_SQ011</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Patient information and education (chatbots)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E4_SQ012</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Nursing support</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E4_SQ013</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Surgical procedures using robotic systems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E4_SQ014</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Automated medication reminders</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yes</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E4_SQ015</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Management of the electronic health record</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r>
      <w:tr>
        <w:trPr>
          <w:tblHeader w:val="false"/>
        </w:trPr>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E4_SQ016</w:t>
            </w:r>
          </w:p>
        </w:tc>
        <w:tc>
          <w:tcPr>
            <w:tcW w:type="dxa" w:w="300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Planning and coordination of treatment</w:t>
            </w:r>
          </w:p>
        </w:tc>
        <w:tc>
          <w:tcPr>
            <w:tcW w:type="dxa" w:w="301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no</w:t>
            </w:r>
          </w:p>
        </w:tc>
      </w:tr>
    </w:tbl>
    <w:p>
      <w:pPr>
        <w:spacing w:after="160"/>
      </w:pP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Times New Roman" w:cs="Times New Roman" w:eastAsia="Times New Roman" w:hAnsi="Times New Roman"/>
        <w:color w:val="5a5a5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 manuscript draft</dc:title>
  <dc:creator>ASTAT KI Gesundheitsversorgung 2026</dc:creator>
  <cp:lastModifiedBy>Un-named</cp:lastModifiedBy>
  <cp:revision>1</cp:revision>
  <dcterms:created xsi:type="dcterms:W3CDTF">2026-08-09T14:52:36.590Z</dcterms:created>
  <dcterms:modified xsi:type="dcterms:W3CDTF">2026-08-09T14:52:36.590Z</dcterms:modified>
</cp:coreProperties>
</file>

<file path=docProps/custom.xml><?xml version="1.0" encoding="utf-8"?>
<Properties xmlns="http://schemas.openxmlformats.org/officeDocument/2006/custom-properties" xmlns:vt="http://schemas.openxmlformats.org/officeDocument/2006/docPropsVTypes"/>
</file>