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line="360"/>
      </w:pPr>
      <w:r>
        <w:rPr>
          <w:rFonts w:ascii="Times New Roman" w:cs="Times New Roman" w:eastAsia="Times New Roman" w:hAnsi="Times New Roman"/>
          <w:sz w:val="26"/>
          <w:szCs w:val="26"/>
        </w:rPr>
        <w:t xml:space="preserve">Additional file 10</w:t>
      </w:r>
    </w:p>
    <w:p>
      <w:pPr>
        <w:pStyle w:val="Heading2"/>
        <w:spacing w:after="160" w:line="360"/>
      </w:pPr>
      <w:r>
        <w:rPr>
          <w:rFonts w:ascii="Times New Roman" w:cs="Times New Roman" w:eastAsia="Times New Roman" w:hAnsi="Times New Roman"/>
          <w:sz w:val="24"/>
          <w:szCs w:val="24"/>
        </w:rPr>
        <w:t xml:space="preserve">Covariate model with BCH correction</w:t>
      </w:r>
    </w:p>
    <w:p>
      <w:pPr>
        <w:spacing w:after="160" w:line="360"/>
      </w:pPr>
      <w:r>
        <w:rPr>
          <w:rFonts w:ascii="Times New Roman" w:cs="Times New Roman" w:eastAsia="Times New Roman" w:hAnsi="Times New Roman"/>
          <w:i/>
          <w:iCs/>
          <w:sz w:val="22"/>
          <w:szCs w:val="22"/>
        </w:rPr>
        <w:t xml:space="preserve">Public acceptance of artificial intelligence in health care: a cumulative hierarchy in a 16-item instrument, German–Italian measurement equivalence, and a five-item short form</w:t>
      </w:r>
    </w:p>
    <w:p>
      <w:pPr>
        <w:spacing w:after="160" w:line="360"/>
      </w:pPr>
      <w:r>
        <w:rPr>
          <w:rFonts w:ascii="Times New Roman" w:cs="Times New Roman" w:eastAsia="Times New Roman" w:hAnsi="Times New Roman"/>
          <w:sz w:val="20"/>
          <w:szCs w:val="20"/>
        </w:rPr>
        <w:t xml:space="preserve">All values were computed in R 4.5.1, on 9 August 2026 except for the quantities recomputed on 26 August 2026 with an increased number of resampling draws, and are reproduced here unchanged from the analysis output files. Decimal separators have been converted from comma to point; no value has been recomputed, rounded further or derived. The complete analysis code is provided as Additional file 3.</w:t>
      </w:r>
    </w:p>
    <w:p>
      <w:pPr>
        <w:spacing w:after="160" w:line="360"/>
      </w:pPr>
      <w:r>
        <w:rPr>
          <w:rFonts w:ascii="Times New Roman" w:cs="Times New Roman" w:eastAsia="Times New Roman" w:hAnsi="Times New Roman"/>
          <w:sz w:val="22"/>
          <w:szCs w:val="22"/>
        </w:rPr>
        <w:t xml:space="preserve">Multinomial model of class membership on covariates, estimated through a three-step procedure with BCH correction rather than naive modal assignment. Because the BCH weights derived from the inverse classification matrix are partly negative, the weighted multinomial likelihood was maximised directly. Reference class: the broadly accepting class (class 3).</w:t>
      </w:r>
    </w:p>
    <w:p>
      <w:pPr>
        <w:spacing w:after="160" w:line="360"/>
      </w:pPr>
      <w:r>
        <w:rPr>
          <w:rFonts w:ascii="Times New Roman" w:cs="Times New Roman" w:eastAsia="Times New Roman" w:hAnsi="Times New Roman"/>
          <w:sz w:val="22"/>
          <w:szCs w:val="22"/>
        </w:rPr>
        <w:t xml:space="preserve">Three sets of standard errors are reported side by side. The model-based errors come from the observed information matrix; they are shown for comparison only, since a pseudo-likelihood does not license them. The sandwich errors are the primary estimates. The bootstrap intervals come from 1000 draws over all three steps, of which 991 converged; they add the uncertainty carried over from the estimation of the measurement model, which the sandwich estimator treats as known. Median ratios: sandwich to model-based 1.11 (range 1.01 to 1.25), bootstrap to sandwich 1.19, bootstrap to model-based 1.30. Of the 39 coefficients, exactly one changes significance at the 5% level between the model-based and the sandwich estimator (class 4, AI use about once per week: p = .050 against p = .073).</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128"/>
        <w:gridCol w:w="1128"/>
        <w:gridCol w:w="1128"/>
        <w:gridCol w:w="1128"/>
        <w:gridCol w:w="1128"/>
        <w:gridCol w:w="1128"/>
        <w:gridCol w:w="1128"/>
        <w:gridCol w:w="1130"/>
      </w:tblGrid>
      <w:tr>
        <w:trPr>
          <w:tblHeader/>
        </w:trPr>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Class (vs class 3)</w:t>
            </w:r>
          </w:p>
        </w:tc>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Covariate</w:t>
            </w:r>
          </w:p>
        </w:tc>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OR</w:t>
            </w:r>
          </w:p>
        </w:tc>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95% CI model-based</w:t>
            </w:r>
          </w:p>
        </w:tc>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p</w:t>
            </w:r>
          </w:p>
        </w:tc>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95% CI sandwich</w:t>
            </w:r>
          </w:p>
        </w:tc>
        <w:tc>
          <w:tcPr>
            <w:tcW w:type="dxa" w:w="1128"/>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p</w:t>
            </w:r>
          </w:p>
        </w:tc>
        <w:tc>
          <w:tcPr>
            <w:tcW w:type="dxa" w:w="1130"/>
            <w:shd w:fill="EFEFED" w:val="clear"/>
            <w:tcMar>
              <w:top w:type="dxa" w:w="60"/>
              <w:left w:type="dxa" w:w="90"/>
              <w:bottom w:type="dxa" w:w="60"/>
              <w:right w:type="dxa" w:w="90"/>
            </w:tcMar>
          </w:tcPr>
          <w:p>
            <w:pPr>
              <w:spacing w:after="0" w:line="240"/>
            </w:pPr>
            <w:r>
              <w:rPr>
                <w:rFonts w:ascii="Times New Roman" w:cs="Times New Roman" w:eastAsia="Times New Roman" w:hAnsi="Times New Roman"/>
                <w:b/>
                <w:bCs/>
                <w:sz w:val="16"/>
                <w:szCs w:val="16"/>
              </w:rPr>
              <w:t xml:space="preserve">95% CI bootstrap</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1 — consistently rejecting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Age 41–60 years</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0.596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0.345–1.029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0.337–1.053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0.074</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0.344–1.271</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1 — consistently rejecting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Age 61–80 years</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0.486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0.27–0.876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0.264–0.896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0.021</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0.279–1.399</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1 — consistently rejecting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Female</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1.413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0.91–2.192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0.124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0.881–2.264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0.151</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0.817–2.414</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1 — consistently rejecting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Education: upper secondary</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0.574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0.347–0.951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0.337–0.979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0.042</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0.254–0.943</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1 — consistently rejecting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Education: university</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0.291–1.03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0.28–1.068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0.077</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0.201–0.931</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1 — consistently rejecting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Language group: Italian</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0.785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0.423–1.457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0.443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0.384–1.603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0.506</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0.363–1.817</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1 — consistently rejecting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Language group: Ladin or other</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0.798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0.381–1.672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0.549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0.361–1.764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0.577</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0.309–2.216</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1 — consistently rejecting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Residence: Bolzano city</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1.242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0.655–2.354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0.508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0.596–2.586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0.563</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0.589–2.759</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1 — consistently rejecting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AI use: less than once a week</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0.297–0.939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0.288–0.968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0.039</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0.253–1.018</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1 — consistently rejecting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AI use: about once a week</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0.273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0.126–0.59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0.121–0.614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0.002</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0.094–0.678</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1 — consistently rejecting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AI use: several times a week</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0.134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0.064–0.277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0.061–0.29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0.055–0.383</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1 — consistently rejecting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AI use: daily</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0.019–0.189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0.018–0.201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0.014–0.279</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1 — consistently rejecting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Technology affinity: high</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0.472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0.294–0.757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0.29–0.769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0.003</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0.281–0.847</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2 — administratively oriented</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Age 41–60 years</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0.832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0.566–1.222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0.348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0.521–1.327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0.44</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0.422–1.884</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2 — administratively oriented</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Age 61–80 years</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0.375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0.232–0.607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0.207–0.678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0.001</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0.195–1.438</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2 — administratively oriented</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Female</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1.517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1.084–2.123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1.004–2.292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0.048</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0.829–2.517</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2 — administratively oriented</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Education: upper secondary</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1.174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0.781–1.765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0.71–1.942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0.531</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0.375–1.729</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2 — administratively oriented</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Education: university</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1.054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0.658–1.688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0.826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0.59–1.883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0.858</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0.285–1.852</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2 — administratively oriented</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Language group: Italian</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0.929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0.592–1.459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0.749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0.538–1.603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0.791</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0.529–2.662</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2 — administratively oriented</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Language group: Ladin or other</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0.565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0.303–1.056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0.262–1.221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0.147</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0.172–2.21</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2 — administratively oriented</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Residence: Bolzano city</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1.178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0.73–1.899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0.502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0.66–2.1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0.579</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0.526–2.193</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2 — administratively oriented</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AI use: less than once a week</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0.691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0.399–1.197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0.188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0.353–1.355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0.282</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0.342–1.597</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2 — administratively oriented</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AI use: about once a week</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0.624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0.334–1.165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0.138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0.291–1.337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0.225</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0.262–1.774</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2 — administratively oriented</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AI use: several times a week</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0.456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0.261–0.797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0.231–0.902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0.024</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0.194–1.083</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2 — administratively oriented</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AI use: daily</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0.276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0.141–0.541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0.119–0.64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0.003</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0.118–0.948</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2 — administratively oriented</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Technology affinity: high</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0.604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0.411–0.889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0.011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0.373–0.979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0.041</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0.315–1.326</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4 — comprehensively accepting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Age 41–60 years</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1.364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0.807–2.308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0.247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0.756–2.461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0.302</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0.787–2.937</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4 — comprehensively accepting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Age 61–80 years</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1.709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0.949–3.079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0.884–3.306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0.111</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1.055–5.35</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4 — comprehensively accepting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Female</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0.944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0.618–1.441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0.59–1.511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0.811</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0.514–1.273</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4 — comprehensively accepting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Education: upper secondary</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1.139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0.66–1.965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0.618–2.1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0.676</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0.557–2.051</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4 — comprehensively accepting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Education: university</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1.38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0.766–2.487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0.283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0.718–2.653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0.334</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0.561–2.427</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4 — comprehensively accepting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Language group: Italian</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1.25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0.724–2.157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0.424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0.704–2.218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0.447</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0.687–2.814</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4 — comprehensively accepting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Language group: Ladin or other</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0.573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0.237–1.381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0.215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0.219–1.499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0.256</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0.193–2.544</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4 — comprehensively accepting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Residence: Bolzano city</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0.943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0.522–1.703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0.845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0.517–1.72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0.848</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0.459–1.812</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4 — comprehensively accepting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AI use: less than once a week</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0.46</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0.206–1.028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0.058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0.189–1.121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0.087</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0.208–1.307</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4 — comprehensively accepting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AI use: about once a week</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0.387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0.15–0.998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0.137–1.093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0.073</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0.147–1.359</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4 — comprehensively accepting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AI use: several times a week</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0.713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0.343–1.48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0.364</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0.324–1.568</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0.4</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0.365–2.274</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4 — comprehensively accepting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AI use: daily</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1.763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0.827–3.759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0.142</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0.796–3.907</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0.162</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0.882–5.077</w:t>
            </w:r>
          </w:p>
        </w:tc>
      </w:tr>
      <w:tr>
        <w:trPr>
          <w:tblHeader w:val="false"/>
        </w:trPr>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Class 4 — comprehensively accepting</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Technology affinity: high</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0.965</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0.558–1.671</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0.532–1.753</w:t>
            </w:r>
          </w:p>
        </w:tc>
        <w:tc>
          <w:tcPr>
            <w:tcW w:type="dxa" w:w="1128"/>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0.908</w:t>
            </w:r>
          </w:p>
        </w:tc>
        <w:tc>
          <w:tcPr>
            <w:tcW w:type="dxa" w:w="1130"/>
            <w:tcMar>
              <w:top w:type="dxa" w:w="60"/>
              <w:left w:type="dxa" w:w="90"/>
              <w:bottom w:type="dxa" w:w="60"/>
              <w:right w:type="dxa" w:w="90"/>
            </w:tcMar>
          </w:tcPr>
          <w:p>
            <w:pPr>
              <w:spacing w:after="0" w:line="240"/>
            </w:pPr>
            <w:r>
              <w:rPr>
                <w:rFonts w:ascii="Times New Roman" w:cs="Times New Roman" w:eastAsia="Times New Roman" w:hAnsi="Times New Roman"/>
                <w:sz w:val="16"/>
                <w:szCs w:val="16"/>
              </w:rPr>
              <w:t xml:space="preserve">0.504–1.851</w:t>
            </w:r>
          </w:p>
        </w:tc>
      </w:tr>
    </w:tbl>
    <w:p>
      <w:pPr>
        <w:spacing w:after="160"/>
      </w:pPr>
    </w:p>
    <w:p>
      <w:pPr>
        <w:spacing w:after="160" w:line="360"/>
      </w:pPr>
      <w:r>
        <w:rPr>
          <w:rFonts w:ascii="Times New Roman" w:cs="Times New Roman" w:eastAsia="Times New Roman" w:hAnsi="Times New Roman"/>
          <w:sz w:val="22"/>
          <w:szCs w:val="22"/>
        </w:rPr>
        <w:t xml:space="preserve">The three age coefficients are the ones the choice of estimator matters for. Under the sandwich estimator, membership of the rejecting class (OR 0.486) and of the administratively oriented class (OR 0.375) are both significantly reduced among respondents aged 61 to 80, and the tendency towards the comprehensively accepting class (OR 1.709) is not significant. Under the bootstrap neither of the two intervals that are significant under the sandwich estimator remains separated from unity, and the interval for the comprehensively accepting class is strongly right-skewed with its lower bound at 1.055. The direction of the reversal relative to the descriptive distribution is stable, its magnitude is not. The manuscript states the conclusion accordingly.</w:t>
      </w:r>
    </w:p>
    <w:p>
      <w:pPr>
        <w:spacing w:after="160" w:line="360"/>
      </w:pPr>
      <w:r>
        <w:rPr>
          <w:rFonts w:ascii="Times New Roman" w:cs="Times New Roman" w:eastAsia="Times New Roman" w:hAnsi="Times New Roman"/>
          <w:sz w:val="22"/>
          <w:szCs w:val="22"/>
        </w:rPr>
        <w:t xml:space="preserve">A caveat on the bootstrap: for reasons of computing time each draw re-estimated the class model with fewer random starts than the main model. That may have led to poorer local optima in individual draws and thus to somewhat inflated dispersion, so the bootstrap intervals are better read as an upper bound on the uncertainty than as a point estimate of it.</w:t>
      </w:r>
    </w:p>
    <w:tbl>
      <w:tblPr>
        <w:tblW w:type="auto" w:w="0"/>
        <w:tblLook w:firstColumn="1" w:firstRow="1" w:lastColumn="0" w:lastRow="0" w:noHBand="0" w:noVBand="1" w:val="04A0"/>
      </w:tblPr>
      <w:tblGrid>
        <w:gridCol w:w="1805"/>
        <w:gridCol w:w="1805"/>
        <w:gridCol w:w="1805"/>
        <w:gridCol w:w="1805"/>
        <w:gridCol w:w="1805"/>
      </w:tblGrid>
      <w:tr>
        <w:tc>
          <w:tcPr>
            <w:tcW w:type="dxa" w:w="1805"/>
          </w:tcPr>
          <w:p>
            <w:r>
              <w:rPr>
                <w:b/>
                <w:sz w:val="20"/>
              </w:rPr>
              <w:t>Model</w:t>
            </w:r>
          </w:p>
        </w:tc>
        <w:tc>
          <w:tcPr>
            <w:tcW w:type="dxa" w:w="1805"/>
          </w:tcPr>
          <w:p>
            <w:r>
              <w:rPr>
                <w:b/>
                <w:sz w:val="20"/>
              </w:rPr>
              <w:t>Class (vs class 3)</w:t>
            </w:r>
          </w:p>
        </w:tc>
        <w:tc>
          <w:tcPr>
            <w:tcW w:type="dxa" w:w="1805"/>
          </w:tcPr>
          <w:p>
            <w:r>
              <w:rPr>
                <w:b/>
                <w:sz w:val="20"/>
              </w:rPr>
              <w:t>OR for age 61–80 years</w:t>
            </w:r>
          </w:p>
        </w:tc>
        <w:tc>
          <w:tcPr>
            <w:tcW w:type="dxa" w:w="1805"/>
          </w:tcPr>
          <w:p>
            <w:r>
              <w:rPr>
                <w:b/>
                <w:sz w:val="20"/>
              </w:rPr>
              <w:t>95% CI sandwich</w:t>
            </w:r>
          </w:p>
        </w:tc>
        <w:tc>
          <w:tcPr>
            <w:tcW w:type="dxa" w:w="1805"/>
          </w:tcPr>
          <w:p>
            <w:r>
              <w:rPr>
                <w:b/>
                <w:sz w:val="20"/>
              </w:rPr>
              <w:t>p</w:t>
            </w:r>
          </w:p>
        </w:tc>
      </w:tr>
      <w:tr>
        <w:tc>
          <w:tcPr>
            <w:tcW w:type="dxa" w:w="1805"/>
          </w:tcPr>
          <w:p>
            <w:r>
              <w:rPr>
                <w:sz w:val="20"/>
              </w:rPr>
              <w:t>Model 1 — age only</w:t>
            </w:r>
          </w:p>
        </w:tc>
        <w:tc>
          <w:tcPr>
            <w:tcW w:type="dxa" w:w="1805"/>
          </w:tcPr>
          <w:p>
            <w:r>
              <w:rPr>
                <w:sz w:val="20"/>
              </w:rPr>
              <w:t>Class 1 — consistently rejecting</w:t>
            </w:r>
          </w:p>
        </w:tc>
        <w:tc>
          <w:tcPr>
            <w:tcW w:type="dxa" w:w="1805"/>
          </w:tcPr>
          <w:p>
            <w:r>
              <w:rPr>
                <w:sz w:val="20"/>
              </w:rPr>
              <w:t>1.396</w:t>
            </w:r>
          </w:p>
        </w:tc>
        <w:tc>
          <w:tcPr>
            <w:tcW w:type="dxa" w:w="1805"/>
          </w:tcPr>
          <w:p>
            <w:r>
              <w:rPr>
                <w:sz w:val="20"/>
              </w:rPr>
              <w:t>0.827–2.356</w:t>
            </w:r>
          </w:p>
        </w:tc>
        <w:tc>
          <w:tcPr>
            <w:tcW w:type="dxa" w:w="1805"/>
          </w:tcPr>
          <w:p>
            <w:r>
              <w:rPr>
                <w:sz w:val="20"/>
              </w:rPr>
              <w:t>.212</w:t>
            </w:r>
          </w:p>
        </w:tc>
      </w:tr>
      <w:tr>
        <w:tc>
          <w:tcPr>
            <w:tcW w:type="dxa" w:w="1805"/>
          </w:tcPr>
          <w:p>
            <w:r>
              <w:rPr>
                <w:sz w:val="20"/>
              </w:rPr>
            </w:r>
          </w:p>
        </w:tc>
        <w:tc>
          <w:tcPr>
            <w:tcW w:type="dxa" w:w="1805"/>
          </w:tcPr>
          <w:p>
            <w:r>
              <w:rPr>
                <w:sz w:val="20"/>
              </w:rPr>
              <w:t>Class 2 — administratively oriented</w:t>
            </w:r>
          </w:p>
        </w:tc>
        <w:tc>
          <w:tcPr>
            <w:tcW w:type="dxa" w:w="1805"/>
          </w:tcPr>
          <w:p>
            <w:r>
              <w:rPr>
                <w:sz w:val="20"/>
              </w:rPr>
              <w:t>0.563</w:t>
            </w:r>
          </w:p>
        </w:tc>
        <w:tc>
          <w:tcPr>
            <w:tcW w:type="dxa" w:w="1805"/>
          </w:tcPr>
          <w:p>
            <w:r>
              <w:rPr>
                <w:sz w:val="20"/>
              </w:rPr>
              <w:t>0.331–0.956</w:t>
            </w:r>
          </w:p>
        </w:tc>
        <w:tc>
          <w:tcPr>
            <w:tcW w:type="dxa" w:w="1805"/>
          </w:tcPr>
          <w:p>
            <w:r>
              <w:rPr>
                <w:sz w:val="20"/>
              </w:rPr>
              <w:t>.034</w:t>
            </w:r>
          </w:p>
        </w:tc>
      </w:tr>
      <w:tr>
        <w:tc>
          <w:tcPr>
            <w:tcW w:type="dxa" w:w="1805"/>
          </w:tcPr>
          <w:p>
            <w:r>
              <w:rPr>
                <w:sz w:val="20"/>
              </w:rPr>
            </w:r>
          </w:p>
        </w:tc>
        <w:tc>
          <w:tcPr>
            <w:tcW w:type="dxa" w:w="1805"/>
          </w:tcPr>
          <w:p>
            <w:r>
              <w:rPr>
                <w:sz w:val="20"/>
              </w:rPr>
              <w:t>Class 4 — comprehensively accepting</w:t>
            </w:r>
          </w:p>
        </w:tc>
        <w:tc>
          <w:tcPr>
            <w:tcW w:type="dxa" w:w="1805"/>
          </w:tcPr>
          <w:p>
            <w:r>
              <w:rPr>
                <w:sz w:val="20"/>
              </w:rPr>
              <w:t>1.221</w:t>
            </w:r>
          </w:p>
        </w:tc>
        <w:tc>
          <w:tcPr>
            <w:tcW w:type="dxa" w:w="1805"/>
          </w:tcPr>
          <w:p>
            <w:r>
              <w:rPr>
                <w:sz w:val="20"/>
              </w:rPr>
              <w:t>0.686–2.173</w:t>
            </w:r>
          </w:p>
        </w:tc>
        <w:tc>
          <w:tcPr>
            <w:tcW w:type="dxa" w:w="1805"/>
          </w:tcPr>
          <w:p>
            <w:r>
              <w:rPr>
                <w:sz w:val="20"/>
              </w:rPr>
              <w:t>.497</w:t>
            </w:r>
          </w:p>
        </w:tc>
      </w:tr>
      <w:tr>
        <w:tc>
          <w:tcPr>
            <w:tcW w:type="dxa" w:w="1805"/>
          </w:tcPr>
          <w:p>
            <w:r>
              <w:rPr>
                <w:sz w:val="20"/>
              </w:rPr>
              <w:t>Model 2 — age, AI use, technology affinity</w:t>
            </w:r>
          </w:p>
        </w:tc>
        <w:tc>
          <w:tcPr>
            <w:tcW w:type="dxa" w:w="1805"/>
          </w:tcPr>
          <w:p>
            <w:r>
              <w:rPr>
                <w:sz w:val="20"/>
              </w:rPr>
              <w:t>Class 1 — consistently rejecting</w:t>
            </w:r>
          </w:p>
        </w:tc>
        <w:tc>
          <w:tcPr>
            <w:tcW w:type="dxa" w:w="1805"/>
          </w:tcPr>
          <w:p>
            <w:r>
              <w:rPr>
                <w:sz w:val="20"/>
              </w:rPr>
              <w:t>0.550</w:t>
            </w:r>
          </w:p>
        </w:tc>
        <w:tc>
          <w:tcPr>
            <w:tcW w:type="dxa" w:w="1805"/>
          </w:tcPr>
          <w:p>
            <w:r>
              <w:rPr>
                <w:sz w:val="20"/>
              </w:rPr>
              <w:t>0.304–0.993</w:t>
            </w:r>
          </w:p>
        </w:tc>
        <w:tc>
          <w:tcPr>
            <w:tcW w:type="dxa" w:w="1805"/>
          </w:tcPr>
          <w:p>
            <w:r>
              <w:rPr>
                <w:sz w:val="20"/>
              </w:rPr>
              <w:t>.048</w:t>
            </w:r>
          </w:p>
        </w:tc>
      </w:tr>
      <w:tr>
        <w:tc>
          <w:tcPr>
            <w:tcW w:type="dxa" w:w="1805"/>
          </w:tcPr>
          <w:p>
            <w:r>
              <w:rPr>
                <w:sz w:val="20"/>
              </w:rPr>
            </w:r>
          </w:p>
        </w:tc>
        <w:tc>
          <w:tcPr>
            <w:tcW w:type="dxa" w:w="1805"/>
          </w:tcPr>
          <w:p>
            <w:r>
              <w:rPr>
                <w:sz w:val="20"/>
              </w:rPr>
              <w:t>Class 2 — administratively oriented</w:t>
            </w:r>
          </w:p>
        </w:tc>
        <w:tc>
          <w:tcPr>
            <w:tcW w:type="dxa" w:w="1805"/>
          </w:tcPr>
          <w:p>
            <w:r>
              <w:rPr>
                <w:sz w:val="20"/>
              </w:rPr>
              <w:t>0.376</w:t>
            </w:r>
          </w:p>
        </w:tc>
        <w:tc>
          <w:tcPr>
            <w:tcW w:type="dxa" w:w="1805"/>
          </w:tcPr>
          <w:p>
            <w:r>
              <w:rPr>
                <w:sz w:val="20"/>
              </w:rPr>
              <w:t>0.211–0.673</w:t>
            </w:r>
          </w:p>
        </w:tc>
        <w:tc>
          <w:tcPr>
            <w:tcW w:type="dxa" w:w="1805"/>
          </w:tcPr>
          <w:p>
            <w:r>
              <w:rPr>
                <w:sz w:val="20"/>
              </w:rPr>
              <w:t>.001</w:t>
            </w:r>
          </w:p>
        </w:tc>
      </w:tr>
      <w:tr>
        <w:tc>
          <w:tcPr>
            <w:tcW w:type="dxa" w:w="1805"/>
          </w:tcPr>
          <w:p>
            <w:r>
              <w:rPr>
                <w:sz w:val="20"/>
              </w:rPr>
            </w:r>
          </w:p>
        </w:tc>
        <w:tc>
          <w:tcPr>
            <w:tcW w:type="dxa" w:w="1805"/>
          </w:tcPr>
          <w:p>
            <w:r>
              <w:rPr>
                <w:sz w:val="20"/>
              </w:rPr>
              <w:t>Class 4 — comprehensively accepting</w:t>
            </w:r>
          </w:p>
        </w:tc>
        <w:tc>
          <w:tcPr>
            <w:tcW w:type="dxa" w:w="1805"/>
          </w:tcPr>
          <w:p>
            <w:r>
              <w:rPr>
                <w:sz w:val="20"/>
              </w:rPr>
              <w:t>1.693</w:t>
            </w:r>
          </w:p>
        </w:tc>
        <w:tc>
          <w:tcPr>
            <w:tcW w:type="dxa" w:w="1805"/>
          </w:tcPr>
          <w:p>
            <w:r>
              <w:rPr>
                <w:sz w:val="20"/>
              </w:rPr>
              <w:t>0.900–3.185</w:t>
            </w:r>
          </w:p>
        </w:tc>
        <w:tc>
          <w:tcPr>
            <w:tcW w:type="dxa" w:w="1805"/>
          </w:tcPr>
          <w:p>
            <w:r>
              <w:rPr>
                <w:sz w:val="20"/>
              </w:rPr>
              <w:t>.103</w:t>
            </w:r>
          </w:p>
        </w:tc>
      </w:tr>
      <w:tr>
        <w:tc>
          <w:tcPr>
            <w:tcW w:type="dxa" w:w="1805"/>
          </w:tcPr>
          <w:p>
            <w:r>
              <w:rPr>
                <w:sz w:val="20"/>
              </w:rPr>
              <w:t>Model 3 — full model</w:t>
            </w:r>
          </w:p>
        </w:tc>
        <w:tc>
          <w:tcPr>
            <w:tcW w:type="dxa" w:w="1805"/>
          </w:tcPr>
          <w:p>
            <w:r>
              <w:rPr>
                <w:sz w:val="20"/>
              </w:rPr>
              <w:t>Class 1 — consistently rejecting</w:t>
            </w:r>
          </w:p>
        </w:tc>
        <w:tc>
          <w:tcPr>
            <w:tcW w:type="dxa" w:w="1805"/>
          </w:tcPr>
          <w:p>
            <w:r>
              <w:rPr>
                <w:sz w:val="20"/>
              </w:rPr>
              <w:t>0.486</w:t>
            </w:r>
          </w:p>
        </w:tc>
        <w:tc>
          <w:tcPr>
            <w:tcW w:type="dxa" w:w="1805"/>
          </w:tcPr>
          <w:p>
            <w:r>
              <w:rPr>
                <w:sz w:val="20"/>
              </w:rPr>
              <w:t>0.264–0.896</w:t>
            </w:r>
          </w:p>
        </w:tc>
        <w:tc>
          <w:tcPr>
            <w:tcW w:type="dxa" w:w="1805"/>
          </w:tcPr>
          <w:p>
            <w:r>
              <w:rPr>
                <w:sz w:val="20"/>
              </w:rPr>
              <w:t>.021</w:t>
            </w:r>
          </w:p>
        </w:tc>
      </w:tr>
      <w:tr>
        <w:tc>
          <w:tcPr>
            <w:tcW w:type="dxa" w:w="1805"/>
          </w:tcPr>
          <w:p>
            <w:r>
              <w:rPr>
                <w:sz w:val="20"/>
              </w:rPr>
            </w:r>
          </w:p>
        </w:tc>
        <w:tc>
          <w:tcPr>
            <w:tcW w:type="dxa" w:w="1805"/>
          </w:tcPr>
          <w:p>
            <w:r>
              <w:rPr>
                <w:sz w:val="20"/>
              </w:rPr>
              <w:t>Class 2 — administratively oriented</w:t>
            </w:r>
          </w:p>
        </w:tc>
        <w:tc>
          <w:tcPr>
            <w:tcW w:type="dxa" w:w="1805"/>
          </w:tcPr>
          <w:p>
            <w:r>
              <w:rPr>
                <w:sz w:val="20"/>
              </w:rPr>
              <w:t>0.375</w:t>
            </w:r>
          </w:p>
        </w:tc>
        <w:tc>
          <w:tcPr>
            <w:tcW w:type="dxa" w:w="1805"/>
          </w:tcPr>
          <w:p>
            <w:r>
              <w:rPr>
                <w:sz w:val="20"/>
              </w:rPr>
              <w:t>0.207–0.678</w:t>
            </w:r>
          </w:p>
        </w:tc>
        <w:tc>
          <w:tcPr>
            <w:tcW w:type="dxa" w:w="1805"/>
          </w:tcPr>
          <w:p>
            <w:r>
              <w:rPr>
                <w:sz w:val="20"/>
              </w:rPr>
              <w:t>.001</w:t>
            </w:r>
          </w:p>
        </w:tc>
      </w:tr>
      <w:tr>
        <w:tc>
          <w:tcPr>
            <w:tcW w:type="dxa" w:w="1805"/>
          </w:tcPr>
          <w:p>
            <w:r>
              <w:rPr>
                <w:sz w:val="20"/>
              </w:rPr>
            </w:r>
          </w:p>
        </w:tc>
        <w:tc>
          <w:tcPr>
            <w:tcW w:type="dxa" w:w="1805"/>
          </w:tcPr>
          <w:p>
            <w:r>
              <w:rPr>
                <w:sz w:val="20"/>
              </w:rPr>
              <w:t>Class 4 — comprehensively accepting</w:t>
            </w:r>
          </w:p>
        </w:tc>
        <w:tc>
          <w:tcPr>
            <w:tcW w:type="dxa" w:w="1805"/>
          </w:tcPr>
          <w:p>
            <w:r>
              <w:rPr>
                <w:sz w:val="20"/>
              </w:rPr>
              <w:t>1.710</w:t>
            </w:r>
          </w:p>
        </w:tc>
        <w:tc>
          <w:tcPr>
            <w:tcW w:type="dxa" w:w="1805"/>
          </w:tcPr>
          <w:p>
            <w:r>
              <w:rPr>
                <w:sz w:val="20"/>
              </w:rPr>
              <w:t>0.884–3.306</w:t>
            </w:r>
          </w:p>
        </w:tc>
        <w:tc>
          <w:tcPr>
            <w:tcW w:type="dxa" w:w="1805"/>
          </w:tcPr>
          <w:p>
            <w:r>
              <w:rPr>
                <w:sz w:val="20"/>
              </w:rPr>
              <w:t>.111</w:t>
            </w:r>
          </w:p>
        </w:tc>
      </w:tr>
    </w:tbl>
    <w:sectPr>
      <w:footerReference w:type="default" r:id="rId7"/>
      <w:pgSz w:w="11906" w:h="16838" w:orient="portrait"/>
      <w:pgMar w:top="1440" w:right="1440" w:bottom="1440" w:left="1440" w:header="708" w:footer="708" w:gutter="0"/>
      <w:pgNumType/>
      <w:docGrid w:linePitch="360"/>
    </w:sectPr>
    <w:p>
      <w:pPr>
        <w:pStyle w:val="Heading2"/>
        <w:spacing w:after="160" w:line="360"/>
      </w:pPr>
      <w:r>
        <w:rPr>
          <w:rFonts w:ascii="Times New Roman" w:cs="Times New Roman" w:eastAsia="Times New Roman" w:hAnsi="Times New Roman"/>
          <w:sz w:val="24"/>
          <w:szCs w:val="24"/>
        </w:rPr>
        <w:t>Nested models for the age coefficient</w:t>
      </w:r>
    </w:p>
    <w:p>
      <w:pPr>
        <w:spacing w:after="160" w:line="360"/>
      </w:pPr>
      <w:r>
        <w:rPr>
          <w:rFonts w:ascii="Times New Roman" w:cs="Times New Roman" w:eastAsia="Times New Roman" w:hAnsi="Times New Roman"/>
          <w:sz w:val="22"/>
          <w:szCs w:val="22"/>
        </w:rPr>
        <w:t>The manuscript reports that the reversal of the age association is produced by the variables describing digital experience. The following three nested specifications, estimated by the same BCH procedure and with the same sandwich standard errors, identify which covariates carry it. Model 1 contains age only; model 2 adds frequency of AI use and technology affinity; model 3 is the full model reported above. Only the coefficient for the rejecting class changes sign, and it does so when digital experience enters.</w:t>
      </w:r>
    </w:p>
    <w:p>
      <w:pPr>
        <w:spacing w:after="160" w:line="360"/>
      </w:pPr>
      <w:r>
        <w:rPr>
          <w:rFonts w:ascii="Times New Roman" w:cs="Times New Roman" w:eastAsia="Times New Roman" w:hAnsi="Times New Roman"/>
          <w:sz w:val="22"/>
          <w:szCs w:val="22"/>
        </w:rPr>
        <w:t>Note: Model 3 reproduces the coefficients of the main table; the largest discrepancy in the odds ratios is 0.001. All three models use the same BCH weights and the same reference class.</w:t>
      </w:r>
    </w:p>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120"/>
      <w:jc w:val="center"/>
    </w:pPr>
    <w:r>
      <w:rPr>
        <w:rFonts w:ascii="Times New Roman" w:cs="Times New Roman" w:eastAsia="Times New Roman" w:hAnsi="Times New Roman"/>
        <w:color w:val="5a5a58"/>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2 — manuscript draft</dc:title>
  <dc:creator>ASTAT KI Gesundheitsversorgung 2026</dc:creator>
  <cp:lastModifiedBy>Un-named</cp:lastModifiedBy>
  <cp:revision>1</cp:revision>
  <dcterms:created xsi:type="dcterms:W3CDTF">2026-08-09T14:52:36.590Z</dcterms:created>
  <dcterms:modified xsi:type="dcterms:W3CDTF">2026-08-09T14:52:36.590Z</dcterms:modified>
</cp:coreProperties>
</file>

<file path=docProps/custom.xml><?xml version="1.0" encoding="utf-8"?>
<Properties xmlns="http://schemas.openxmlformats.org/officeDocument/2006/custom-properties" xmlns:vt="http://schemas.openxmlformats.org/officeDocument/2006/docPropsVTypes"/>
</file>