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20"/>
      </w:pPr>
      <w:r>
        <w:rPr>
          <w:rFonts w:ascii="Times New Roman" w:hAnsi="Times New Roman" w:eastAsia="Times New Roman"/>
          <w:b/>
          <w:sz w:val="20"/>
        </w:rPr>
        <w:t>Supplementary Table S1. Comparison of serum bicarbonate parameters according to pathological complete response status in the primary analysis cohort</w:t>
      </w:r>
    </w:p>
    <w:tbl>
      <w:tblPr>
        <w:tblStyle w:val="TableGrid"/>
        <w:tblW w:type="dxa" w:w="8960"/>
        <w:jc w:val="center"/>
        <w:tblLayout w:type="fixed"/>
        <w:tblLook w:firstColumn="1" w:firstRow="1" w:lastColumn="0" w:lastRow="0" w:noHBand="0" w:noVBand="1" w:val="04A0"/>
      </w:tblPr>
      <w:tblGrid>
        <w:gridCol w:w="3900"/>
        <w:gridCol w:w="2000"/>
        <w:gridCol w:w="1900"/>
        <w:gridCol w:w="1160"/>
      </w:tblGrid>
      <w:tr>
        <w:trPr>
          <w:tblHeader w:val="true"/>
        </w:trPr>
        <w:tc>
          <w:tcPr>
            <w:tcW w:type="dxa" w:w="3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12" w:space="0" w:color="000000"/>
              <w:bottom w:val="single" w:sz="8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Variable</w:t>
            </w:r>
          </w:p>
        </w:tc>
        <w:tc>
          <w:tcPr>
            <w:tcW w:type="dxa" w:w="20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12" w:space="0" w:color="000000"/>
              <w:bottom w:val="single" w:sz="8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Non-pCR (n = 764)</w:t>
            </w:r>
          </w:p>
        </w:tc>
        <w:tc>
          <w:tcPr>
            <w:tcW w:type="dxa" w:w="1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12" w:space="0" w:color="000000"/>
              <w:bottom w:val="single" w:sz="8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pCR (n = 119)</w:t>
            </w:r>
          </w:p>
        </w:tc>
        <w:tc>
          <w:tcPr>
            <w:tcW w:type="dxa" w:w="1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12" w:space="0" w:color="000000"/>
              <w:bottom w:val="single" w:sz="8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P value</w:t>
            </w:r>
          </w:p>
        </w:tc>
      </w:tr>
      <w:tr>
        <w:tc>
          <w:tcPr>
            <w:tcW w:type="dxa" w:w="3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Pre-NAC HCO₃⁻ (mmol/L)</w:t>
            </w:r>
          </w:p>
        </w:tc>
        <w:tc>
          <w:tcPr>
            <w:tcW w:type="dxa" w:w="20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24.58 ± 2.39</w:t>
            </w:r>
          </w:p>
        </w:tc>
        <w:tc>
          <w:tcPr>
            <w:tcW w:type="dxa" w:w="1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24.58 ± 2.10</w:t>
            </w:r>
          </w:p>
        </w:tc>
        <w:tc>
          <w:tcPr>
            <w:tcW w:type="dxa" w:w="1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0.995</w:t>
            </w:r>
          </w:p>
        </w:tc>
      </w:tr>
      <w:tr>
        <w:tc>
          <w:tcPr>
            <w:tcW w:type="dxa" w:w="3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Post-NAC HCO₃⁻ (mmol/L)</w:t>
            </w:r>
          </w:p>
        </w:tc>
        <w:tc>
          <w:tcPr>
            <w:tcW w:type="dxa" w:w="20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25.23 ± 2.36</w:t>
            </w:r>
          </w:p>
        </w:tc>
        <w:tc>
          <w:tcPr>
            <w:tcW w:type="dxa" w:w="1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26.18 ± 2.31</w:t>
            </w:r>
          </w:p>
        </w:tc>
        <w:tc>
          <w:tcPr>
            <w:tcW w:type="dxa" w:w="1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</w:tr>
      <w:tr>
        <w:tc>
          <w:tcPr>
            <w:tcW w:type="dxa" w:w="3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ΔHCO₃⁻ (mmol/L)</w:t>
            </w:r>
          </w:p>
        </w:tc>
        <w:tc>
          <w:tcPr>
            <w:tcW w:type="dxa" w:w="20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0.65 ± 2.97</w:t>
            </w:r>
          </w:p>
        </w:tc>
        <w:tc>
          <w:tcPr>
            <w:tcW w:type="dxa" w:w="19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1.60 ± 2.62</w:t>
            </w:r>
          </w:p>
        </w:tc>
        <w:tc>
          <w:tcPr>
            <w:tcW w:type="dxa" w:w="1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</w:tr>
    </w:tbl>
    <w:p>
      <w:pPr>
        <w:spacing w:before="120" w:after="0" w:line="252" w:lineRule="auto"/>
      </w:pPr>
      <w:r>
        <w:rPr>
          <w:rFonts w:ascii="Times New Roman" w:hAnsi="Times New Roman" w:eastAsia="Times New Roman"/>
          <w:sz w:val="18"/>
        </w:rPr>
        <w:t>Data are presented as mean ± standard deviation (SD).</w:t>
      </w:r>
      <w:r>
        <w:br/>
      </w:r>
      <w:r>
        <w:rPr>
          <w:rFonts w:ascii="Times New Roman" w:hAnsi="Times New Roman" w:eastAsia="Times New Roman"/>
          <w:sz w:val="18"/>
        </w:rPr>
        <w:t>P values were calculated using Welch's two-sample t-test.</w:t>
      </w:r>
      <w:r>
        <w:br/>
      </w:r>
      <w:r>
        <w:rPr>
          <w:rFonts w:ascii="Times New Roman" w:hAnsi="Times New Roman" w:eastAsia="Times New Roman"/>
          <w:sz w:val="18"/>
        </w:rPr>
        <w:t>HCO₃⁻, bicarbonate; NAC, neoadjuvant chemotherapy; pCR, pathological complete response.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