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4BB7AF">
      <w:pPr>
        <w:pStyle w:val="166"/>
        <w:ind w:left="0" w:leftChars="0" w:firstLine="0" w:firstLineChars="0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/>
          <w:b/>
          <w:bCs/>
          <w:lang w:val="en-US" w:eastAsia="zh-CN" w:bidi="ar-SA"/>
        </w:rPr>
        <w:t>Supplementary Table S1.</w:t>
      </w:r>
    </w:p>
    <w:bookmarkEnd w:id="0"/>
    <w:p w14:paraId="5E8A2EAD">
      <w:pPr>
        <w:pStyle w:val="164"/>
        <w:ind w:left="0" w:leftChars="0" w:firstLine="0" w:firstLineChars="0"/>
        <w:rPr>
          <w:rFonts w:hint="default" w:ascii="Times New Roman" w:hAnsi="Times New Roman" w:eastAsia="Times New Roman" w:cstheme="minorBidi"/>
          <w:b w:val="0"/>
          <w:color w:val="auto"/>
          <w:sz w:val="20"/>
          <w:szCs w:val="22"/>
          <w:lang w:val="en-US" w:eastAsia="en-US" w:bidi="ar-SA"/>
        </w:rPr>
      </w:pPr>
      <w:r>
        <w:rPr>
          <w:rFonts w:hint="default" w:ascii="Times New Roman" w:hAnsi="Times New Roman" w:eastAsia="Times New Roman" w:cstheme="minorBidi"/>
          <w:b w:val="0"/>
          <w:color w:val="auto"/>
          <w:sz w:val="20"/>
          <w:szCs w:val="22"/>
          <w:lang w:val="en-US" w:eastAsia="en-US" w:bidi="ar-SA"/>
        </w:rPr>
        <w:t>Supplementary Table S1. Initial FDM Indicator Pool and Literature Sources</w:t>
      </w:r>
    </w:p>
    <w:tbl>
      <w:tblPr>
        <w:tblStyle w:val="32"/>
        <w:tblW w:w="4734" w:type="pct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6"/>
        <w:gridCol w:w="1558"/>
        <w:gridCol w:w="4914"/>
        <w:gridCol w:w="2982"/>
      </w:tblGrid>
      <w:tr w14:paraId="0F85B557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467" w:type="pct"/>
            <w:tcBorders>
              <w:top w:val="single" w:color="000000" w:sz="12" w:space="0"/>
              <w:left w:val="nil"/>
              <w:bottom w:val="nil"/>
              <w:right w:val="nil"/>
              <w:tl2br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82A1E4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0"/>
                <w:szCs w:val="20"/>
              </w:rPr>
              <w:t>Code</w:t>
            </w:r>
          </w:p>
        </w:tc>
        <w:tc>
          <w:tcPr>
            <w:tcW w:w="746" w:type="pc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20C558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Indicator</w:t>
            </w:r>
          </w:p>
        </w:tc>
        <w:tc>
          <w:tcPr>
            <w:tcW w:w="2355" w:type="pc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BD69F2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Definition</w:t>
            </w:r>
          </w:p>
        </w:tc>
        <w:tc>
          <w:tcPr>
            <w:tcW w:w="1429" w:type="pc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AB2A68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References</w:t>
            </w:r>
          </w:p>
        </w:tc>
      </w:tr>
      <w:tr w14:paraId="61C97BF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67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50CC1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I1</w:t>
            </w:r>
          </w:p>
        </w:tc>
        <w:tc>
          <w:tcPr>
            <w:tcW w:w="746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1879F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Flood-prone space identification</w:t>
            </w:r>
          </w:p>
        </w:tc>
        <w:tc>
          <w:tcPr>
            <w:tcW w:w="2355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A79A0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Identifies flood-prone spaces such as building entrances, low-lying plazas, and underground-space entrances.</w:t>
            </w:r>
          </w:p>
        </w:tc>
        <w:tc>
          <w:tcPr>
            <w:tcW w:w="1429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7D4D5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Palatino Linotype" w:hAnsi="Palatino Linotype" w:eastAsia="Times New Roman" w:cs="Times New Roman"/>
                <w:snapToGrid w:val="0"/>
                <w:color w:val="000000"/>
                <w:szCs w:val="22"/>
                <w:lang w:val="en-US" w:eastAsia="de-DE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szCs w:val="22"/>
                <w:lang w:val="en-US" w:eastAsia="de-DE" w:bidi="en-US"/>
              </w:rPr>
              <w:t>[1,4,9,13,22,51,75,76,79]</w:t>
            </w:r>
          </w:p>
        </w:tc>
      </w:tr>
      <w:tr w14:paraId="3A8DF23D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53C82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I2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BB4FE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High-risk path identification</w:t>
            </w:r>
          </w:p>
        </w:tc>
        <w:tc>
          <w:tcPr>
            <w:tcW w:w="23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60455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Identifies frequently used rainy-day routes vulnerable to ponding, slipperiness, detours, or interruption of rain-sheltered continuity.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F49A9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Palatino Linotype" w:hAnsi="Palatino Linotype" w:eastAsia="Times New Roman" w:cs="Times New Roman"/>
                <w:snapToGrid w:val="0"/>
                <w:color w:val="000000"/>
                <w:szCs w:val="22"/>
                <w:lang w:val="en-US" w:eastAsia="de-DE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szCs w:val="22"/>
                <w:lang w:val="en-US" w:eastAsia="de-DE" w:bidi="en-US"/>
              </w:rPr>
              <w:t>[4,9,12,13,18,75,76]</w:t>
            </w:r>
          </w:p>
        </w:tc>
      </w:tr>
      <w:tr w14:paraId="64AC97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2D930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I3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885CA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Historical stormwater-event record</w:t>
            </w:r>
          </w:p>
        </w:tc>
        <w:tc>
          <w:tcPr>
            <w:tcW w:w="23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D7E24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Records previous stormwater events, including ponding, backflow, slipping incidents, temporary closures, complaints, and maintenance actions.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EE557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Palatino Linotype" w:hAnsi="Palatino Linotype" w:eastAsia="Times New Roman" w:cs="Times New Roman"/>
                <w:snapToGrid w:val="0"/>
                <w:color w:val="000000"/>
                <w:szCs w:val="22"/>
                <w:lang w:val="en-US" w:eastAsia="de-DE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szCs w:val="22"/>
                <w:lang w:val="en-US" w:eastAsia="de-DE" w:bidi="en-US"/>
              </w:rPr>
              <w:t>[4,25,27,38,42,43,68,75]</w:t>
            </w:r>
          </w:p>
        </w:tc>
      </w:tr>
      <w:tr w14:paraId="6F5A106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B8532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I4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A53CE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Stormwater Risk Grading Representation</w:t>
            </w:r>
          </w:p>
        </w:tc>
        <w:tc>
          <w:tcPr>
            <w:tcW w:w="23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BA835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Represents stormwater risk points, risk routes, and risk grades through drawings, GIS, or risk maps.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AD01D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Palatino Linotype" w:hAnsi="Palatino Linotype" w:eastAsia="Times New Roman" w:cs="Times New Roman"/>
                <w:snapToGrid w:val="0"/>
                <w:color w:val="000000"/>
                <w:szCs w:val="22"/>
                <w:lang w:val="en-US" w:eastAsia="de-DE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szCs w:val="22"/>
                <w:lang w:val="en-US" w:eastAsia="de-DE" w:bidi="en-US"/>
              </w:rPr>
              <w:t>[4,11,42,73,74]</w:t>
            </w:r>
          </w:p>
        </w:tc>
      </w:tr>
      <w:tr w14:paraId="0847869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E2604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I5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A2FC1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Rainstorm warning and notification</w:t>
            </w:r>
          </w:p>
        </w:tc>
        <w:tc>
          <w:tcPr>
            <w:tcW w:w="23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63AA2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Provides timely risk reminders and rainy-day mobility advice to students and staff before rainstorm events.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7EA89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Palatino Linotype" w:hAnsi="Palatino Linotype" w:eastAsia="Times New Roman" w:cs="Times New Roman"/>
                <w:snapToGrid w:val="0"/>
                <w:color w:val="000000"/>
                <w:szCs w:val="22"/>
                <w:lang w:val="en-US" w:eastAsia="de-DE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szCs w:val="22"/>
                <w:lang w:val="en-US" w:eastAsia="de-DE" w:bidi="en-US"/>
              </w:rPr>
              <w:t>[13,18,25,38,42,75]</w:t>
            </w:r>
          </w:p>
        </w:tc>
      </w:tr>
      <w:tr w14:paraId="381951D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EE6E7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I6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FE3CA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Alternative route guidance plan</w:t>
            </w:r>
          </w:p>
        </w:tc>
        <w:tc>
          <w:tcPr>
            <w:tcW w:w="23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B91D3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Specifies recommended rainy-day routes, detour routes, restricted areas, and safety information.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00024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Palatino Linotype" w:hAnsi="Palatino Linotype" w:eastAsia="Times New Roman" w:cs="Times New Roman"/>
                <w:snapToGrid w:val="0"/>
                <w:color w:val="000000"/>
                <w:szCs w:val="22"/>
                <w:lang w:val="en-US" w:eastAsia="de-DE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szCs w:val="22"/>
                <w:lang w:val="en-US" w:eastAsia="de-DE" w:bidi="en-US"/>
              </w:rPr>
              <w:t>[13,18,25,38,42,75,76]</w:t>
            </w:r>
          </w:p>
        </w:tc>
      </w:tr>
      <w:tr w14:paraId="03C9B05D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0C879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I7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3C019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Emergency plan for key nodes</w:t>
            </w:r>
          </w:p>
        </w:tc>
        <w:tc>
          <w:tcPr>
            <w:tcW w:w="23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308F0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Develops rainy-day evacuation and guidance plans for high-frequency nodes such as canteens, teaching buildings, dormitories, and libraries.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DB5F0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Palatino Linotype" w:hAnsi="Palatino Linotype" w:eastAsia="Times New Roman" w:cs="Times New Roman"/>
                <w:snapToGrid w:val="0"/>
                <w:color w:val="000000"/>
                <w:szCs w:val="22"/>
                <w:lang w:val="en-US" w:eastAsia="de-DE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szCs w:val="22"/>
                <w:lang w:val="en-US" w:eastAsia="de-DE" w:bidi="en-US"/>
              </w:rPr>
              <w:t>[4,11,13,20,27,38,42]</w:t>
            </w:r>
          </w:p>
        </w:tc>
      </w:tr>
      <w:tr w14:paraId="64E5933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C4693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I8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E6E61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Coordinated response mechanism</w:t>
            </w:r>
          </w:p>
        </w:tc>
        <w:tc>
          <w:tcPr>
            <w:tcW w:w="23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95B18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Defines response responsibilities across logistics, security, property management, and dormitory management units.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6155A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Palatino Linotype" w:hAnsi="Palatino Linotype" w:eastAsia="Times New Roman" w:cs="Times New Roman"/>
                <w:snapToGrid w:val="0"/>
                <w:color w:val="000000"/>
                <w:szCs w:val="22"/>
                <w:lang w:val="en-US" w:eastAsia="de-DE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szCs w:val="22"/>
                <w:lang w:val="en-US" w:eastAsia="de-DE" w:bidi="en-US"/>
              </w:rPr>
              <w:t>[4,12,19,20,25,38,42,48,49]</w:t>
            </w:r>
          </w:p>
        </w:tc>
      </w:tr>
      <w:tr w14:paraId="3D8D0AB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8267C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I9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32A89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Drainage facility maintenance</w:t>
            </w:r>
          </w:p>
        </w:tc>
        <w:tc>
          <w:tcPr>
            <w:tcW w:w="23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470A7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Ensures that inlets, drainage ditches, linear drains, and roof downpipes remain unobstructed before rainstorm events.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A57B2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Palatino Linotype" w:hAnsi="Palatino Linotype" w:eastAsia="Times New Roman" w:cs="Times New Roman"/>
                <w:snapToGrid w:val="0"/>
                <w:color w:val="000000"/>
                <w:szCs w:val="22"/>
                <w:lang w:val="en-US" w:eastAsia="de-DE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szCs w:val="22"/>
                <w:lang w:val="en-US" w:eastAsia="de-DE" w:bidi="en-US"/>
              </w:rPr>
              <w:t>[42,44,45,48,49,50,51,76]</w:t>
            </w:r>
          </w:p>
        </w:tc>
      </w:tr>
      <w:tr w14:paraId="7FE0BB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F6C08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I10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845B4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Entrance waterproofing and anti-slip measures</w:t>
            </w:r>
          </w:p>
        </w:tc>
        <w:tc>
          <w:tcPr>
            <w:tcW w:w="23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9E9B2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Reduces backflow and slipping risk at entrances through elevation control, interception, water barriers, anti-slip paving, and emergency facilities.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E76C9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Palatino Linotype" w:hAnsi="Palatino Linotype" w:eastAsia="Times New Roman" w:cs="Times New Roman"/>
                <w:snapToGrid w:val="0"/>
                <w:color w:val="000000"/>
                <w:szCs w:val="22"/>
                <w:lang w:val="en-US" w:eastAsia="de-DE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szCs w:val="22"/>
                <w:lang w:val="en-US" w:eastAsia="de-DE" w:bidi="en-US"/>
              </w:rPr>
              <w:t>[4,11,12,19,42,45,74,76]</w:t>
            </w:r>
          </w:p>
        </w:tc>
      </w:tr>
      <w:tr w14:paraId="4E39AD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F9920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I11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B7B44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Rain-shelter connection provision</w:t>
            </w:r>
          </w:p>
        </w:tc>
        <w:tc>
          <w:tcPr>
            <w:tcW w:w="23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1D735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Provides continuous or semi-continuous rain-shelter connections between frequently used building nodes.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3DB65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Palatino Linotype" w:hAnsi="Palatino Linotype" w:eastAsia="Times New Roman" w:cs="Times New Roman"/>
                <w:snapToGrid w:val="0"/>
                <w:color w:val="000000"/>
                <w:szCs w:val="22"/>
                <w:lang w:val="en-US" w:eastAsia="de-DE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szCs w:val="22"/>
                <w:lang w:val="en-US" w:eastAsia="de-DE" w:bidi="en-US"/>
              </w:rPr>
              <w:t>[11,13,18,19,20,76]</w:t>
            </w:r>
          </w:p>
        </w:tc>
      </w:tr>
      <w:tr w14:paraId="0FD1B8B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CE48C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I12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E1225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Water-sensitive facility provision</w:t>
            </w:r>
          </w:p>
        </w:tc>
        <w:tc>
          <w:tcPr>
            <w:tcW w:w="23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6CE65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Provides rain gardens, sunken green spaces, permeable pavement, and related facilities in flood-prone and high-pedestrian-flow areas.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94949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Palatino Linotype" w:hAnsi="Palatino Linotype" w:eastAsia="Times New Roman" w:cs="Times New Roman"/>
                <w:snapToGrid w:val="0"/>
                <w:color w:val="000000"/>
                <w:szCs w:val="22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szCs w:val="22"/>
                <w:lang w:val="en-US" w:eastAsia="de-DE" w:bidi="en-US"/>
              </w:rPr>
              <w:t>[42,44,45,48,49,50,51,76]</w:t>
            </w:r>
          </w:p>
        </w:tc>
      </w:tr>
      <w:tr w14:paraId="2244A9D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67" w:type="pct"/>
            <w:tcBorders>
              <w:top w:val="nil"/>
            </w:tcBorders>
            <w:shd w:val="clear" w:color="auto" w:fill="FFFFFF"/>
            <w:vAlign w:val="center"/>
          </w:tcPr>
          <w:p w14:paraId="3BD15EC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I13</w:t>
            </w:r>
          </w:p>
        </w:tc>
        <w:tc>
          <w:tcPr>
            <w:tcW w:w="746" w:type="pct"/>
            <w:tcBorders>
              <w:top w:val="nil"/>
            </w:tcBorders>
            <w:shd w:val="clear" w:color="auto" w:fill="FFFFFF"/>
            <w:vAlign w:val="center"/>
          </w:tcPr>
          <w:p w14:paraId="1C0C5CE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Ponding extent and depth</w:t>
            </w:r>
          </w:p>
        </w:tc>
        <w:tc>
          <w:tcPr>
            <w:tcW w:w="2355" w:type="pct"/>
            <w:tcBorders>
              <w:top w:val="nil"/>
            </w:tcBorders>
            <w:shd w:val="clear" w:color="auto" w:fill="FFFFFF"/>
            <w:vAlign w:val="center"/>
          </w:tcPr>
          <w:p w14:paraId="6F508B7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Evaluates whether the spatial extent and depth of ponding at entrances, plazas, and corridor nodes affect safe passage.</w:t>
            </w:r>
          </w:p>
        </w:tc>
        <w:tc>
          <w:tcPr>
            <w:tcW w:w="1429" w:type="pct"/>
            <w:tcBorders>
              <w:top w:val="nil"/>
            </w:tcBorders>
            <w:shd w:val="clear" w:color="auto" w:fill="FFFFFF"/>
            <w:vAlign w:val="center"/>
          </w:tcPr>
          <w:p w14:paraId="488CF3F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Palatino Linotype" w:hAnsi="Palatino Linotype" w:eastAsia="Times New Roman" w:cs="Times New Roman"/>
                <w:snapToGrid w:val="0"/>
                <w:color w:val="000000"/>
                <w:szCs w:val="22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szCs w:val="22"/>
                <w:lang w:val="en-US" w:eastAsia="de-DE" w:bidi="en-US"/>
              </w:rPr>
              <w:t>[4,9,28,42,45,48,74,76,79]</w:t>
            </w:r>
          </w:p>
        </w:tc>
      </w:tr>
      <w:tr w14:paraId="7C4A99F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67" w:type="pct"/>
            <w:shd w:val="clear" w:color="auto" w:fill="FFFFFF"/>
            <w:vAlign w:val="center"/>
          </w:tcPr>
          <w:p w14:paraId="1F4D62A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I14</w:t>
            </w:r>
          </w:p>
        </w:tc>
        <w:tc>
          <w:tcPr>
            <w:tcW w:w="746" w:type="pct"/>
            <w:shd w:val="clear" w:color="auto" w:fill="FFFFFF"/>
            <w:vAlign w:val="center"/>
          </w:tcPr>
          <w:p w14:paraId="0779E4F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Runoff conveyance organization</w:t>
            </w:r>
          </w:p>
        </w:tc>
        <w:tc>
          <w:tcPr>
            <w:tcW w:w="2355" w:type="pct"/>
            <w:shd w:val="clear" w:color="auto" w:fill="FFFFFF"/>
            <w:vAlign w:val="center"/>
          </w:tcPr>
          <w:p w14:paraId="536CC98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Assesses whether runoff is organized away from pedestrian routes and building entrances and conveyed through drainage facilities or green spaces.</w:t>
            </w:r>
          </w:p>
        </w:tc>
        <w:tc>
          <w:tcPr>
            <w:tcW w:w="1429" w:type="pct"/>
            <w:shd w:val="clear" w:color="auto" w:fill="FFFFFF"/>
            <w:vAlign w:val="center"/>
          </w:tcPr>
          <w:p w14:paraId="12EBB65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Palatino Linotype" w:hAnsi="Palatino Linotype" w:eastAsia="Times New Roman" w:cs="Times New Roman"/>
                <w:snapToGrid w:val="0"/>
                <w:color w:val="000000"/>
                <w:szCs w:val="22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szCs w:val="22"/>
                <w:lang w:val="en-US" w:eastAsia="de-DE" w:bidi="en-US"/>
              </w:rPr>
              <w:t>[4,9,18,28,42,45,48,49,74,79]</w:t>
            </w:r>
          </w:p>
        </w:tc>
      </w:tr>
      <w:tr w14:paraId="566325C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67" w:type="pct"/>
            <w:shd w:val="clear" w:color="auto" w:fill="FFFFFF"/>
            <w:vAlign w:val="center"/>
          </w:tcPr>
          <w:p w14:paraId="4218087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I15</w:t>
            </w:r>
          </w:p>
        </w:tc>
        <w:tc>
          <w:tcPr>
            <w:tcW w:w="746" w:type="pct"/>
            <w:shd w:val="clear" w:color="auto" w:fill="FFFFFF"/>
            <w:vAlign w:val="center"/>
          </w:tcPr>
          <w:p w14:paraId="091AD10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Drainage operation continuity</w:t>
            </w:r>
          </w:p>
        </w:tc>
        <w:tc>
          <w:tcPr>
            <w:tcW w:w="2355" w:type="pct"/>
            <w:shd w:val="clear" w:color="auto" w:fill="FFFFFF"/>
            <w:vAlign w:val="center"/>
          </w:tcPr>
          <w:p w14:paraId="12E0185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Assesses whether inlets, drainage ditches, and linear drainage facilities operate effectively during rainstorm events.</w:t>
            </w:r>
          </w:p>
        </w:tc>
        <w:tc>
          <w:tcPr>
            <w:tcW w:w="1429" w:type="pct"/>
            <w:shd w:val="clear" w:color="auto" w:fill="FFFFFF"/>
            <w:vAlign w:val="center"/>
          </w:tcPr>
          <w:p w14:paraId="6AD5530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Palatino Linotype" w:hAnsi="Palatino Linotype" w:eastAsia="Times New Roman" w:cs="Times New Roman"/>
                <w:snapToGrid w:val="0"/>
                <w:color w:val="000000"/>
                <w:szCs w:val="22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szCs w:val="22"/>
                <w:lang w:val="en-US" w:eastAsia="de-DE" w:bidi="en-US"/>
              </w:rPr>
              <w:t>[4,9,18,28,42,45,48,49,74,79]</w:t>
            </w:r>
          </w:p>
        </w:tc>
      </w:tr>
      <w:tr w14:paraId="454AFDC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67" w:type="pct"/>
            <w:shd w:val="clear" w:color="auto" w:fill="FFFFFF"/>
            <w:vAlign w:val="center"/>
          </w:tcPr>
          <w:p w14:paraId="2156B9A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I16</w:t>
            </w:r>
          </w:p>
        </w:tc>
        <w:tc>
          <w:tcPr>
            <w:tcW w:w="746" w:type="pct"/>
            <w:shd w:val="clear" w:color="auto" w:fill="FFFFFF"/>
            <w:vAlign w:val="center"/>
          </w:tcPr>
          <w:p w14:paraId="3DA1AF8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Control capacity for flood-prone locations</w:t>
            </w:r>
          </w:p>
        </w:tc>
        <w:tc>
          <w:tcPr>
            <w:tcW w:w="2355" w:type="pct"/>
            <w:shd w:val="clear" w:color="auto" w:fill="FFFFFF"/>
            <w:vAlign w:val="center"/>
          </w:tcPr>
          <w:p w14:paraId="542FAA6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Evaluates whether low-lying areas, underground entrances, and roof-edge runoff points avoid backflow, concentrated discharge, or local water impact.</w:t>
            </w:r>
          </w:p>
        </w:tc>
        <w:tc>
          <w:tcPr>
            <w:tcW w:w="1429" w:type="pct"/>
            <w:shd w:val="clear" w:color="auto" w:fill="FFFFFF"/>
            <w:vAlign w:val="center"/>
          </w:tcPr>
          <w:p w14:paraId="2052301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Palatino Linotype" w:hAnsi="Palatino Linotype" w:eastAsia="Times New Roman" w:cs="Times New Roman"/>
                <w:snapToGrid w:val="0"/>
                <w:color w:val="000000"/>
                <w:szCs w:val="22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szCs w:val="22"/>
                <w:lang w:val="en-US" w:eastAsia="de-DE" w:bidi="en-US"/>
              </w:rPr>
              <w:t>[4,9,13,42,45,74,76]</w:t>
            </w:r>
          </w:p>
        </w:tc>
      </w:tr>
      <w:tr w14:paraId="55DE810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67" w:type="pct"/>
            <w:shd w:val="clear" w:color="auto" w:fill="FFFFFF"/>
            <w:vAlign w:val="center"/>
          </w:tcPr>
          <w:p w14:paraId="3C17398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I17</w:t>
            </w:r>
          </w:p>
        </w:tc>
        <w:tc>
          <w:tcPr>
            <w:tcW w:w="746" w:type="pct"/>
            <w:shd w:val="clear" w:color="auto" w:fill="FFFFFF"/>
            <w:vAlign w:val="center"/>
          </w:tcPr>
          <w:p w14:paraId="6812EA7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Rainy-day main-route accessibility</w:t>
            </w:r>
          </w:p>
        </w:tc>
        <w:tc>
          <w:tcPr>
            <w:tcW w:w="2355" w:type="pct"/>
            <w:shd w:val="clear" w:color="auto" w:fill="FFFFFF"/>
            <w:vAlign w:val="center"/>
          </w:tcPr>
          <w:p w14:paraId="3F2A1A0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Assesses whether high-frequency routes connecting dormitories, teaching buildings, canteens, and libraries remain accessible during rainfall.</w:t>
            </w:r>
          </w:p>
        </w:tc>
        <w:tc>
          <w:tcPr>
            <w:tcW w:w="1429" w:type="pct"/>
            <w:shd w:val="clear" w:color="auto" w:fill="FFFFFF"/>
            <w:vAlign w:val="center"/>
          </w:tcPr>
          <w:p w14:paraId="5A0C2BA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Palatino Linotype" w:hAnsi="Palatino Linotype" w:eastAsia="Times New Roman" w:cs="Times New Roman"/>
                <w:snapToGrid w:val="0"/>
                <w:color w:val="000000"/>
                <w:szCs w:val="22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szCs w:val="22"/>
                <w:lang w:val="en-US" w:eastAsia="de-DE" w:bidi="en-US"/>
              </w:rPr>
              <w:t>[12,13,18,76]</w:t>
            </w:r>
          </w:p>
        </w:tc>
      </w:tr>
      <w:tr w14:paraId="41BD69C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67" w:type="pct"/>
            <w:shd w:val="clear" w:color="auto" w:fill="FFFFFF"/>
            <w:vAlign w:val="center"/>
          </w:tcPr>
          <w:p w14:paraId="5980848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I18</w:t>
            </w:r>
          </w:p>
        </w:tc>
        <w:tc>
          <w:tcPr>
            <w:tcW w:w="746" w:type="pct"/>
            <w:shd w:val="clear" w:color="auto" w:fill="FFFFFF"/>
            <w:vAlign w:val="center"/>
          </w:tcPr>
          <w:p w14:paraId="3962492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Continuity of rain-sheltered passage</w:t>
            </w:r>
          </w:p>
        </w:tc>
        <w:tc>
          <w:tcPr>
            <w:tcW w:w="2355" w:type="pct"/>
            <w:shd w:val="clear" w:color="auto" w:fill="FFFFFF"/>
            <w:vAlign w:val="center"/>
          </w:tcPr>
          <w:p w14:paraId="7721439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Assesses whether corridors, canopies, pilotis, entrance porches, and related spaces form a continuous rain-sheltered passage system.</w:t>
            </w:r>
          </w:p>
        </w:tc>
        <w:tc>
          <w:tcPr>
            <w:tcW w:w="1429" w:type="pct"/>
            <w:shd w:val="clear" w:color="auto" w:fill="FFFFFF"/>
            <w:vAlign w:val="center"/>
          </w:tcPr>
          <w:p w14:paraId="4AA0FDE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Palatino Linotype" w:hAnsi="Palatino Linotype" w:eastAsia="Times New Roman" w:cs="Times New Roman"/>
                <w:snapToGrid w:val="0"/>
                <w:color w:val="000000"/>
                <w:szCs w:val="22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szCs w:val="22"/>
                <w:lang w:val="en-US" w:eastAsia="de-DE" w:bidi="en-US"/>
              </w:rPr>
              <w:t>[4,11,12,13,18,19,20,22,33]</w:t>
            </w:r>
          </w:p>
        </w:tc>
      </w:tr>
      <w:tr w14:paraId="19E3E7D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67" w:type="pct"/>
            <w:shd w:val="clear" w:color="auto" w:fill="FFFFFF"/>
            <w:vAlign w:val="center"/>
          </w:tcPr>
          <w:p w14:paraId="7307619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I19</w:t>
            </w:r>
          </w:p>
        </w:tc>
        <w:tc>
          <w:tcPr>
            <w:tcW w:w="746" w:type="pct"/>
            <w:shd w:val="clear" w:color="auto" w:fill="FFFFFF"/>
            <w:vAlign w:val="center"/>
          </w:tcPr>
          <w:p w14:paraId="193E851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Controllability of detour cost</w:t>
            </w:r>
          </w:p>
        </w:tc>
        <w:tc>
          <w:tcPr>
            <w:tcW w:w="2355" w:type="pct"/>
            <w:shd w:val="clear" w:color="auto" w:fill="FFFFFF"/>
            <w:vAlign w:val="center"/>
          </w:tcPr>
          <w:p w14:paraId="6EC0ADF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Evaluates whether detour distance, travel time, and route complexity remain acceptable when main paths are ponded or closed.</w:t>
            </w:r>
          </w:p>
        </w:tc>
        <w:tc>
          <w:tcPr>
            <w:tcW w:w="1429" w:type="pct"/>
            <w:shd w:val="clear" w:color="auto" w:fill="FFFFFF"/>
            <w:vAlign w:val="center"/>
          </w:tcPr>
          <w:p w14:paraId="22055BC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Palatino Linotype" w:hAnsi="Palatino Linotype" w:eastAsia="Times New Roman" w:cs="Times New Roman"/>
                <w:snapToGrid w:val="0"/>
                <w:color w:val="000000"/>
                <w:szCs w:val="22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szCs w:val="22"/>
                <w:lang w:val="en-US" w:eastAsia="de-DE" w:bidi="en-US"/>
              </w:rPr>
              <w:t>[12,13,18,76]</w:t>
            </w:r>
          </w:p>
        </w:tc>
      </w:tr>
      <w:tr w14:paraId="318CC73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67" w:type="pct"/>
            <w:shd w:val="clear" w:color="auto" w:fill="FFFFFF"/>
            <w:vAlign w:val="center"/>
          </w:tcPr>
          <w:p w14:paraId="0CD4237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I20</w:t>
            </w:r>
          </w:p>
        </w:tc>
        <w:tc>
          <w:tcPr>
            <w:tcW w:w="746" w:type="pct"/>
            <w:shd w:val="clear" w:color="auto" w:fill="FFFFFF"/>
            <w:vAlign w:val="center"/>
          </w:tcPr>
          <w:p w14:paraId="2ADED4A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Peak-period path capacity</w:t>
            </w:r>
          </w:p>
        </w:tc>
        <w:tc>
          <w:tcPr>
            <w:tcW w:w="2355" w:type="pct"/>
            <w:shd w:val="clear" w:color="auto" w:fill="FFFFFF"/>
            <w:vAlign w:val="center"/>
          </w:tcPr>
          <w:p w14:paraId="17DC663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Assesses whether path capacity remains sufficient under umbrellas, bidirectional flows, carried objects, and concentrated peak-period pedestrian flow.</w:t>
            </w:r>
          </w:p>
        </w:tc>
        <w:tc>
          <w:tcPr>
            <w:tcW w:w="1429" w:type="pct"/>
            <w:shd w:val="clear" w:color="auto" w:fill="FFFFFF"/>
            <w:vAlign w:val="center"/>
          </w:tcPr>
          <w:p w14:paraId="58E511B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Palatino Linotype" w:hAnsi="Palatino Linotype" w:eastAsia="Times New Roman" w:cs="Times New Roman"/>
                <w:snapToGrid w:val="0"/>
                <w:color w:val="000000"/>
                <w:szCs w:val="22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szCs w:val="22"/>
                <w:lang w:val="en-US" w:eastAsia="de-DE" w:bidi="en-US"/>
              </w:rPr>
              <w:t>[4,13,76]</w:t>
            </w:r>
          </w:p>
        </w:tc>
      </w:tr>
      <w:tr w14:paraId="2172502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67" w:type="pct"/>
            <w:shd w:val="clear" w:color="auto" w:fill="FFFFFF"/>
            <w:vAlign w:val="center"/>
          </w:tcPr>
          <w:p w14:paraId="3B35E44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I21</w:t>
            </w:r>
          </w:p>
        </w:tc>
        <w:tc>
          <w:tcPr>
            <w:tcW w:w="746" w:type="pct"/>
            <w:shd w:val="clear" w:color="auto" w:fill="FFFFFF"/>
            <w:vAlign w:val="center"/>
          </w:tcPr>
          <w:p w14:paraId="641C479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Continuity of barrier-free passage</w:t>
            </w:r>
          </w:p>
        </w:tc>
        <w:tc>
          <w:tcPr>
            <w:tcW w:w="2355" w:type="pct"/>
            <w:shd w:val="clear" w:color="auto" w:fill="FFFFFF"/>
            <w:vAlign w:val="center"/>
          </w:tcPr>
          <w:p w14:paraId="2CB030C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Assesses whether barrier-free ramps and gently sloped routes remain continuous and usable during rainstorm events.</w:t>
            </w:r>
          </w:p>
        </w:tc>
        <w:tc>
          <w:tcPr>
            <w:tcW w:w="1429" w:type="pct"/>
            <w:shd w:val="clear" w:color="auto" w:fill="FFFFFF"/>
            <w:vAlign w:val="center"/>
          </w:tcPr>
          <w:p w14:paraId="6AF1A0E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Palatino Linotype" w:hAnsi="Palatino Linotype" w:eastAsia="Times New Roman" w:cs="Times New Roman"/>
                <w:snapToGrid w:val="0"/>
                <w:color w:val="000000"/>
                <w:szCs w:val="22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szCs w:val="22"/>
                <w:lang w:val="en-US" w:eastAsia="de-DE" w:bidi="en-US"/>
              </w:rPr>
              <w:t>[4,13,76]</w:t>
            </w:r>
          </w:p>
        </w:tc>
      </w:tr>
      <w:tr w14:paraId="22BC1547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67" w:type="pct"/>
            <w:shd w:val="clear" w:color="auto" w:fill="FFFFFF"/>
            <w:vAlign w:val="center"/>
          </w:tcPr>
          <w:p w14:paraId="152FD86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I22</w:t>
            </w:r>
          </w:p>
        </w:tc>
        <w:tc>
          <w:tcPr>
            <w:tcW w:w="746" w:type="pct"/>
            <w:shd w:val="clear" w:color="auto" w:fill="FFFFFF"/>
            <w:vAlign w:val="center"/>
          </w:tcPr>
          <w:p w14:paraId="1E63D73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Pedestrian–vehicle conflict control</w:t>
            </w:r>
          </w:p>
        </w:tc>
        <w:tc>
          <w:tcPr>
            <w:tcW w:w="2355" w:type="pct"/>
            <w:shd w:val="clear" w:color="auto" w:fill="FFFFFF"/>
            <w:vAlign w:val="center"/>
          </w:tcPr>
          <w:p w14:paraId="7077200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Evaluates whether conflicts among pedestrians, bicycles, electric bikes, and logistics vehicles remain controllable on rainy days.</w:t>
            </w:r>
          </w:p>
        </w:tc>
        <w:tc>
          <w:tcPr>
            <w:tcW w:w="1429" w:type="pct"/>
            <w:shd w:val="clear" w:color="auto" w:fill="FFFFFF"/>
            <w:vAlign w:val="center"/>
          </w:tcPr>
          <w:p w14:paraId="1A13E31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Palatino Linotype" w:hAnsi="Palatino Linotype" w:eastAsia="Times New Roman" w:cs="Times New Roman"/>
                <w:snapToGrid w:val="0"/>
                <w:color w:val="000000"/>
                <w:szCs w:val="22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szCs w:val="22"/>
                <w:lang w:val="en-US" w:eastAsia="de-DE" w:bidi="en-US"/>
              </w:rPr>
              <w:t>[4,13,76]</w:t>
            </w:r>
          </w:p>
        </w:tc>
      </w:tr>
      <w:tr w14:paraId="5F82C2A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67" w:type="pct"/>
            <w:shd w:val="clear" w:color="auto" w:fill="FFFFFF"/>
            <w:vAlign w:val="center"/>
          </w:tcPr>
          <w:p w14:paraId="6ECEF45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I23</w:t>
            </w:r>
          </w:p>
        </w:tc>
        <w:tc>
          <w:tcPr>
            <w:tcW w:w="746" w:type="pct"/>
            <w:shd w:val="clear" w:color="auto" w:fill="FFFFFF"/>
            <w:vAlign w:val="center"/>
          </w:tcPr>
          <w:p w14:paraId="30F387D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Rain-shelter buffer capacity</w:t>
            </w:r>
          </w:p>
        </w:tc>
        <w:tc>
          <w:tcPr>
            <w:tcW w:w="2355" w:type="pct"/>
            <w:shd w:val="clear" w:color="auto" w:fill="FFFFFF"/>
            <w:vAlign w:val="center"/>
          </w:tcPr>
          <w:p w14:paraId="49BDC85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Assesses whether entrances to teaching buildings, dormitories, canteens, and libraries are prone to ponding or backflow under rain-shelter conditions.</w:t>
            </w:r>
          </w:p>
        </w:tc>
        <w:tc>
          <w:tcPr>
            <w:tcW w:w="1429" w:type="pct"/>
            <w:shd w:val="clear" w:color="auto" w:fill="FFFFFF"/>
            <w:vAlign w:val="center"/>
          </w:tcPr>
          <w:p w14:paraId="7CCEA63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Palatino Linotype" w:hAnsi="Palatino Linotype" w:eastAsia="Times New Roman" w:cs="Times New Roman"/>
                <w:snapToGrid w:val="0"/>
                <w:color w:val="000000"/>
                <w:szCs w:val="22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szCs w:val="22"/>
                <w:lang w:val="en-US" w:eastAsia="de-DE" w:bidi="en-US"/>
              </w:rPr>
              <w:t>[4,11,12,18,19,20,22,33,74]</w:t>
            </w:r>
          </w:p>
        </w:tc>
      </w:tr>
      <w:tr w14:paraId="311AEAD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67" w:type="pct"/>
            <w:shd w:val="clear" w:color="auto" w:fill="FFFFFF"/>
            <w:vAlign w:val="center"/>
          </w:tcPr>
          <w:p w14:paraId="5F47FB2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I24</w:t>
            </w:r>
          </w:p>
        </w:tc>
        <w:tc>
          <w:tcPr>
            <w:tcW w:w="746" w:type="pct"/>
            <w:shd w:val="clear" w:color="auto" w:fill="FFFFFF"/>
            <w:vAlign w:val="center"/>
          </w:tcPr>
          <w:p w14:paraId="40C2E6F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Sheltered waiting space at entrances</w:t>
            </w:r>
          </w:p>
        </w:tc>
        <w:tc>
          <w:tcPr>
            <w:tcW w:w="2355" w:type="pct"/>
            <w:shd w:val="clear" w:color="auto" w:fill="FFFFFF"/>
            <w:vAlign w:val="center"/>
          </w:tcPr>
          <w:p w14:paraId="10DC410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Assesses whether entrance areas provide sufficient sheltered space for umbrella handling, short waiting, queuing, and rain avoidance.</w:t>
            </w:r>
          </w:p>
        </w:tc>
        <w:tc>
          <w:tcPr>
            <w:tcW w:w="1429" w:type="pct"/>
            <w:shd w:val="clear" w:color="auto" w:fill="FFFFFF"/>
            <w:vAlign w:val="center"/>
          </w:tcPr>
          <w:p w14:paraId="6C5A3FF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Palatino Linotype" w:hAnsi="Palatino Linotype" w:eastAsia="Times New Roman" w:cs="Times New Roman"/>
                <w:snapToGrid w:val="0"/>
                <w:color w:val="000000"/>
                <w:szCs w:val="22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szCs w:val="22"/>
                <w:lang w:val="en-US" w:eastAsia="de-DE" w:bidi="en-US"/>
              </w:rPr>
              <w:t>[4,11,12,18,19,20,22,33,74]</w:t>
            </w:r>
          </w:p>
        </w:tc>
      </w:tr>
      <w:tr w14:paraId="2AE1A89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67" w:type="pct"/>
            <w:shd w:val="clear" w:color="auto" w:fill="FFFFFF"/>
            <w:vAlign w:val="center"/>
          </w:tcPr>
          <w:p w14:paraId="453B47B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I25</w:t>
            </w:r>
          </w:p>
        </w:tc>
        <w:tc>
          <w:tcPr>
            <w:tcW w:w="746" w:type="pct"/>
            <w:shd w:val="clear" w:color="auto" w:fill="FFFFFF"/>
            <w:vAlign w:val="center"/>
          </w:tcPr>
          <w:p w14:paraId="0694884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Ground anti-slip safety</w:t>
            </w:r>
          </w:p>
        </w:tc>
        <w:tc>
          <w:tcPr>
            <w:tcW w:w="2355" w:type="pct"/>
            <w:shd w:val="clear" w:color="auto" w:fill="FFFFFF"/>
            <w:vAlign w:val="center"/>
          </w:tcPr>
          <w:p w14:paraId="3122BC8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Evaluates whether entrance ground surfaces can control slipperiness caused by rainwater, sediment, and dripping umbrellas.</w:t>
            </w:r>
          </w:p>
        </w:tc>
        <w:tc>
          <w:tcPr>
            <w:tcW w:w="1429" w:type="pct"/>
            <w:shd w:val="clear" w:color="auto" w:fill="FFFFFF"/>
            <w:vAlign w:val="center"/>
          </w:tcPr>
          <w:p w14:paraId="445664C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Palatino Linotype" w:hAnsi="Palatino Linotype" w:eastAsia="Times New Roman" w:cs="Times New Roman"/>
                <w:snapToGrid w:val="0"/>
                <w:color w:val="000000"/>
                <w:szCs w:val="22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szCs w:val="22"/>
                <w:lang w:val="en-US" w:eastAsia="de-DE" w:bidi="en-US"/>
              </w:rPr>
              <w:t>[4,19,42,45,55,58,74,76]</w:t>
            </w:r>
          </w:p>
        </w:tc>
      </w:tr>
      <w:tr w14:paraId="4A8AA47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67" w:type="pct"/>
            <w:shd w:val="clear" w:color="auto" w:fill="FFFFFF"/>
            <w:vAlign w:val="center"/>
          </w:tcPr>
          <w:p w14:paraId="7F94301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I26</w:t>
            </w:r>
          </w:p>
        </w:tc>
        <w:tc>
          <w:tcPr>
            <w:tcW w:w="746" w:type="pct"/>
            <w:shd w:val="clear" w:color="auto" w:fill="FFFFFF"/>
            <w:vAlign w:val="center"/>
          </w:tcPr>
          <w:p w14:paraId="23B30B5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Operational maintenance of core nodes</w:t>
            </w:r>
          </w:p>
        </w:tc>
        <w:tc>
          <w:tcPr>
            <w:tcW w:w="2355" w:type="pct"/>
            <w:shd w:val="clear" w:color="auto" w:fill="FFFFFF"/>
            <w:vAlign w:val="center"/>
          </w:tcPr>
          <w:p w14:paraId="3261D32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Assesses whether high-frequency nodes such as teaching buildings, canteens, dormitories, and libraries maintain use during rainy conditions.</w:t>
            </w:r>
          </w:p>
        </w:tc>
        <w:tc>
          <w:tcPr>
            <w:tcW w:w="1429" w:type="pct"/>
            <w:shd w:val="clear" w:color="auto" w:fill="FFFFFF"/>
            <w:vAlign w:val="center"/>
          </w:tcPr>
          <w:p w14:paraId="48A4512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Palatino Linotype" w:hAnsi="Palatino Linotype" w:eastAsia="Times New Roman" w:cs="Times New Roman"/>
                <w:snapToGrid w:val="0"/>
                <w:color w:val="000000"/>
                <w:szCs w:val="22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szCs w:val="22"/>
                <w:lang w:val="en-US" w:eastAsia="de-DE" w:bidi="en-US"/>
              </w:rPr>
              <w:t>[4,11,12,13,19]</w:t>
            </w:r>
          </w:p>
        </w:tc>
      </w:tr>
      <w:tr w14:paraId="6CA47BDD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67" w:type="pct"/>
            <w:shd w:val="clear" w:color="auto" w:fill="FFFFFF"/>
            <w:vAlign w:val="center"/>
          </w:tcPr>
          <w:p w14:paraId="59B354B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I27</w:t>
            </w:r>
          </w:p>
        </w:tc>
        <w:tc>
          <w:tcPr>
            <w:tcW w:w="746" w:type="pct"/>
            <w:shd w:val="clear" w:color="auto" w:fill="FFFFFF"/>
            <w:vAlign w:val="center"/>
          </w:tcPr>
          <w:p w14:paraId="62B7B07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Support for ancillary service nodes</w:t>
            </w:r>
          </w:p>
        </w:tc>
        <w:tc>
          <w:tcPr>
            <w:tcW w:w="2355" w:type="pct"/>
            <w:shd w:val="clear" w:color="auto" w:fill="FFFFFF"/>
            <w:vAlign w:val="center"/>
          </w:tcPr>
          <w:p w14:paraId="410B581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Assesses whether shuttle stops, bus stops, bicycle parking points, delivery nodes, maintenance points, and cleaning-service nodes maintain basic operation and safe transfer.</w:t>
            </w:r>
          </w:p>
        </w:tc>
        <w:tc>
          <w:tcPr>
            <w:tcW w:w="1429" w:type="pct"/>
            <w:shd w:val="clear" w:color="auto" w:fill="FFFFFF"/>
            <w:vAlign w:val="center"/>
          </w:tcPr>
          <w:p w14:paraId="65919EA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Palatino Linotype" w:hAnsi="Palatino Linotype" w:eastAsia="Times New Roman" w:cs="Times New Roman"/>
                <w:snapToGrid w:val="0"/>
                <w:color w:val="000000"/>
                <w:szCs w:val="22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szCs w:val="22"/>
                <w:lang w:val="en-US" w:eastAsia="de-DE" w:bidi="en-US"/>
              </w:rPr>
              <w:t>[4,13,19,20,38,42]</w:t>
            </w:r>
          </w:p>
        </w:tc>
      </w:tr>
      <w:tr w14:paraId="37DC098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67" w:type="pct"/>
            <w:shd w:val="clear" w:color="auto" w:fill="FFFFFF"/>
            <w:vAlign w:val="center"/>
          </w:tcPr>
          <w:p w14:paraId="0E09278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I28</w:t>
            </w:r>
          </w:p>
        </w:tc>
        <w:tc>
          <w:tcPr>
            <w:tcW w:w="746" w:type="pct"/>
            <w:shd w:val="clear" w:color="auto" w:fill="FFFFFF"/>
            <w:vAlign w:val="center"/>
          </w:tcPr>
          <w:p w14:paraId="3F1CA8D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Rainwater retention and peak attenuation</w:t>
            </w:r>
          </w:p>
        </w:tc>
        <w:tc>
          <w:tcPr>
            <w:tcW w:w="2355" w:type="pct"/>
            <w:shd w:val="clear" w:color="auto" w:fill="FFFFFF"/>
            <w:vAlign w:val="center"/>
          </w:tcPr>
          <w:p w14:paraId="3DA4A43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Assesses whether sunken green spaces, rain gardens, retention basins, and related facilities retain rainwater and attenuate runoff peaks.</w:t>
            </w:r>
          </w:p>
        </w:tc>
        <w:tc>
          <w:tcPr>
            <w:tcW w:w="1429" w:type="pct"/>
            <w:shd w:val="clear" w:color="auto" w:fill="FFFFFF"/>
            <w:vAlign w:val="center"/>
          </w:tcPr>
          <w:p w14:paraId="123C6AB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Palatino Linotype" w:hAnsi="Palatino Linotype" w:eastAsia="Times New Roman" w:cs="Times New Roman"/>
                <w:snapToGrid w:val="0"/>
                <w:color w:val="000000"/>
                <w:szCs w:val="22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szCs w:val="22"/>
                <w:lang w:val="en-US" w:eastAsia="de-DE" w:bidi="en-US"/>
              </w:rPr>
              <w:t>[18,42,44,45,46,47,49,51,58,77]</w:t>
            </w:r>
          </w:p>
        </w:tc>
      </w:tr>
      <w:tr w14:paraId="314AB98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67" w:type="pct"/>
            <w:shd w:val="clear" w:color="auto" w:fill="FFFFFF"/>
            <w:vAlign w:val="center"/>
          </w:tcPr>
          <w:p w14:paraId="3B7E5C2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I29</w:t>
            </w:r>
          </w:p>
        </w:tc>
        <w:tc>
          <w:tcPr>
            <w:tcW w:w="746" w:type="pct"/>
            <w:shd w:val="clear" w:color="auto" w:fill="FFFFFF"/>
            <w:vAlign w:val="center"/>
          </w:tcPr>
          <w:p w14:paraId="019B49E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Infiltration and conveyance efficiency</w:t>
            </w:r>
          </w:p>
        </w:tc>
        <w:tc>
          <w:tcPr>
            <w:tcW w:w="2355" w:type="pct"/>
            <w:shd w:val="clear" w:color="auto" w:fill="FFFFFF"/>
            <w:vAlign w:val="center"/>
          </w:tcPr>
          <w:p w14:paraId="419D9CF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Assesses whether permeable pavement, grassed swales, shallow channels, and related measures promote infiltration, organize surface runoff, and reduce local ponding.</w:t>
            </w:r>
          </w:p>
        </w:tc>
        <w:tc>
          <w:tcPr>
            <w:tcW w:w="1429" w:type="pct"/>
            <w:shd w:val="clear" w:color="auto" w:fill="FFFFFF"/>
            <w:vAlign w:val="center"/>
          </w:tcPr>
          <w:p w14:paraId="74AFABB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Palatino Linotype" w:hAnsi="Palatino Linotype" w:eastAsia="Times New Roman" w:cs="Times New Roman"/>
                <w:snapToGrid w:val="0"/>
                <w:color w:val="000000"/>
                <w:szCs w:val="22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szCs w:val="22"/>
                <w:lang w:val="en-US" w:eastAsia="de-DE" w:bidi="en-US"/>
              </w:rPr>
              <w:t>[18,42,44,45,46,47,49,51,58,77]</w:t>
            </w:r>
          </w:p>
        </w:tc>
      </w:tr>
      <w:tr w14:paraId="6FDAD8D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67" w:type="pct"/>
            <w:shd w:val="clear" w:color="auto" w:fill="FFFFFF"/>
            <w:vAlign w:val="center"/>
          </w:tcPr>
          <w:p w14:paraId="67341CF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I30</w:t>
            </w:r>
          </w:p>
        </w:tc>
        <w:tc>
          <w:tcPr>
            <w:tcW w:w="746" w:type="pct"/>
            <w:shd w:val="clear" w:color="auto" w:fill="FFFFFF"/>
            <w:vAlign w:val="center"/>
          </w:tcPr>
          <w:p w14:paraId="09A708A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Facility-system coordination</w:t>
            </w:r>
          </w:p>
        </w:tc>
        <w:tc>
          <w:tcPr>
            <w:tcW w:w="2355" w:type="pct"/>
            <w:shd w:val="clear" w:color="auto" w:fill="FFFFFF"/>
            <w:vAlign w:val="center"/>
          </w:tcPr>
          <w:p w14:paraId="418D7E6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Assesses whether green spaces, inlets, drainage ditches, rain gardens, and permeable pavement form continuous connections that prevent isolated facility failure.</w:t>
            </w:r>
          </w:p>
        </w:tc>
        <w:tc>
          <w:tcPr>
            <w:tcW w:w="1429" w:type="pct"/>
            <w:shd w:val="clear" w:color="auto" w:fill="FFFFFF"/>
            <w:vAlign w:val="center"/>
          </w:tcPr>
          <w:p w14:paraId="7BF6C40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Palatino Linotype" w:hAnsi="Palatino Linotype" w:eastAsia="Times New Roman" w:cs="Times New Roman"/>
                <w:snapToGrid w:val="0"/>
                <w:color w:val="000000"/>
                <w:szCs w:val="22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szCs w:val="22"/>
                <w:lang w:val="en-US" w:eastAsia="de-DE" w:bidi="en-US"/>
              </w:rPr>
              <w:t>[4,18,42,44,45,46,47,49,50]</w:t>
            </w:r>
          </w:p>
        </w:tc>
      </w:tr>
      <w:tr w14:paraId="6701BB2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67" w:type="pct"/>
            <w:shd w:val="clear" w:color="auto" w:fill="FFFFFF"/>
            <w:vAlign w:val="center"/>
          </w:tcPr>
          <w:p w14:paraId="1961662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I31</w:t>
            </w:r>
          </w:p>
        </w:tc>
        <w:tc>
          <w:tcPr>
            <w:tcW w:w="746" w:type="pct"/>
            <w:shd w:val="clear" w:color="auto" w:fill="FFFFFF"/>
            <w:vAlign w:val="center"/>
          </w:tcPr>
          <w:p w14:paraId="69CD35E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Differentiated mobility support</w:t>
            </w:r>
          </w:p>
        </w:tc>
        <w:tc>
          <w:tcPr>
            <w:tcW w:w="2355" w:type="pct"/>
            <w:shd w:val="clear" w:color="auto" w:fill="FFFFFF"/>
            <w:vAlign w:val="center"/>
          </w:tcPr>
          <w:p w14:paraId="3349394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Assesses whether users with mobility limitations, users carrying objects, cycling-transfer users, and night-returning students receive safe, continuous, and legible mobility support.</w:t>
            </w:r>
          </w:p>
        </w:tc>
        <w:tc>
          <w:tcPr>
            <w:tcW w:w="1429" w:type="pct"/>
            <w:shd w:val="clear" w:color="auto" w:fill="FFFFFF"/>
            <w:vAlign w:val="center"/>
          </w:tcPr>
          <w:p w14:paraId="7CC9123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Palatino Linotype" w:hAnsi="Palatino Linotype" w:eastAsia="Times New Roman" w:cs="Times New Roman"/>
                <w:snapToGrid w:val="0"/>
                <w:color w:val="000000"/>
                <w:szCs w:val="22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szCs w:val="22"/>
                <w:lang w:val="en-US" w:eastAsia="de-DE" w:bidi="en-US"/>
              </w:rPr>
              <w:t>[4,13,25,27,38,42]</w:t>
            </w:r>
          </w:p>
        </w:tc>
      </w:tr>
      <w:tr w14:paraId="1D2AE017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67" w:type="pct"/>
            <w:shd w:val="clear" w:color="auto" w:fill="FFFFFF"/>
            <w:vAlign w:val="center"/>
          </w:tcPr>
          <w:p w14:paraId="11C37E1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I32</w:t>
            </w:r>
          </w:p>
        </w:tc>
        <w:tc>
          <w:tcPr>
            <w:tcW w:w="746" w:type="pct"/>
            <w:shd w:val="clear" w:color="auto" w:fill="FFFFFF"/>
            <w:vAlign w:val="center"/>
          </w:tcPr>
          <w:p w14:paraId="2AB1ED9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Drainage and functional recovery time</w:t>
            </w:r>
          </w:p>
        </w:tc>
        <w:tc>
          <w:tcPr>
            <w:tcW w:w="2355" w:type="pct"/>
            <w:shd w:val="clear" w:color="auto" w:fill="FFFFFF"/>
            <w:vAlign w:val="center"/>
          </w:tcPr>
          <w:p w14:paraId="7575787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Measures the time required for main paths, entrances, plazas, and service nodes to recover to a condition without evident ponding.</w:t>
            </w:r>
          </w:p>
        </w:tc>
        <w:tc>
          <w:tcPr>
            <w:tcW w:w="1429" w:type="pct"/>
            <w:shd w:val="clear" w:color="auto" w:fill="FFFFFF"/>
            <w:vAlign w:val="center"/>
          </w:tcPr>
          <w:p w14:paraId="26C56C8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Palatino Linotype" w:hAnsi="Palatino Linotype" w:eastAsia="Times New Roman" w:cs="Times New Roman"/>
                <w:snapToGrid w:val="0"/>
                <w:color w:val="000000"/>
                <w:szCs w:val="22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szCs w:val="22"/>
                <w:lang w:val="en-US" w:eastAsia="de-DE" w:bidi="en-US"/>
              </w:rPr>
              <w:t>[4,20,22,37,42]</w:t>
            </w:r>
          </w:p>
        </w:tc>
      </w:tr>
      <w:tr w14:paraId="4460357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67" w:type="pct"/>
            <w:shd w:val="clear" w:color="auto" w:fill="FFFFFF"/>
            <w:vAlign w:val="center"/>
          </w:tcPr>
          <w:p w14:paraId="1C41D86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I33</w:t>
            </w:r>
          </w:p>
        </w:tc>
        <w:tc>
          <w:tcPr>
            <w:tcW w:w="746" w:type="pct"/>
            <w:shd w:val="clear" w:color="auto" w:fill="FFFFFF"/>
            <w:vAlign w:val="center"/>
          </w:tcPr>
          <w:p w14:paraId="1559339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Recovery of spatial accessibility</w:t>
            </w:r>
          </w:p>
        </w:tc>
        <w:tc>
          <w:tcPr>
            <w:tcW w:w="2355" w:type="pct"/>
            <w:shd w:val="clear" w:color="auto" w:fill="FFFFFF"/>
            <w:vAlign w:val="center"/>
          </w:tcPr>
          <w:p w14:paraId="2C57506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Assesses whether spaces temporarily closed or suspended because of ponding, backflow, or control measures are reopened in a timely manner.</w:t>
            </w:r>
          </w:p>
        </w:tc>
        <w:tc>
          <w:tcPr>
            <w:tcW w:w="1429" w:type="pct"/>
            <w:shd w:val="clear" w:color="auto" w:fill="FFFFFF"/>
            <w:vAlign w:val="center"/>
          </w:tcPr>
          <w:p w14:paraId="017205D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Palatino Linotype" w:hAnsi="Palatino Linotype" w:eastAsia="Times New Roman" w:cs="Times New Roman"/>
                <w:snapToGrid w:val="0"/>
                <w:color w:val="000000"/>
                <w:szCs w:val="22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szCs w:val="22"/>
                <w:lang w:val="en-US" w:eastAsia="de-DE" w:bidi="en-US"/>
              </w:rPr>
              <w:t>[4,19,20,22,37,42,48,49,77]</w:t>
            </w:r>
          </w:p>
        </w:tc>
      </w:tr>
      <w:tr w14:paraId="540D174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67" w:type="pct"/>
            <w:shd w:val="clear" w:color="auto" w:fill="FFFFFF"/>
            <w:vAlign w:val="center"/>
          </w:tcPr>
          <w:p w14:paraId="65C9521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I34</w:t>
            </w:r>
          </w:p>
        </w:tc>
        <w:tc>
          <w:tcPr>
            <w:tcW w:w="746" w:type="pct"/>
            <w:shd w:val="clear" w:color="auto" w:fill="FFFFFF"/>
            <w:vAlign w:val="center"/>
          </w:tcPr>
          <w:p w14:paraId="1941BC8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Recovery of ground safety</w:t>
            </w:r>
          </w:p>
        </w:tc>
        <w:tc>
          <w:tcPr>
            <w:tcW w:w="2355" w:type="pct"/>
            <w:shd w:val="clear" w:color="auto" w:fill="FFFFFF"/>
            <w:vAlign w:val="center"/>
          </w:tcPr>
          <w:p w14:paraId="1E98CBC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Assesses whether post-rain safety hazards such as slippery surfaces, sediment, fallen leaves, and damaged pavement are addressed in a timely manner.</w:t>
            </w:r>
          </w:p>
        </w:tc>
        <w:tc>
          <w:tcPr>
            <w:tcW w:w="1429" w:type="pct"/>
            <w:shd w:val="clear" w:color="auto" w:fill="FFFFFF"/>
            <w:vAlign w:val="center"/>
          </w:tcPr>
          <w:p w14:paraId="61679EA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Palatino Linotype" w:hAnsi="Palatino Linotype" w:eastAsia="Times New Roman" w:cs="Times New Roman"/>
                <w:snapToGrid w:val="0"/>
                <w:color w:val="000000"/>
                <w:szCs w:val="22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szCs w:val="22"/>
                <w:lang w:val="en-US" w:eastAsia="de-DE" w:bidi="en-US"/>
              </w:rPr>
              <w:t>[4,19,22,42,48,49,58,77]</w:t>
            </w:r>
          </w:p>
        </w:tc>
      </w:tr>
      <w:tr w14:paraId="12903BA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67" w:type="pct"/>
            <w:shd w:val="clear" w:color="auto" w:fill="FFFFFF"/>
            <w:vAlign w:val="center"/>
          </w:tcPr>
          <w:p w14:paraId="52DF1FA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I35</w:t>
            </w:r>
          </w:p>
        </w:tc>
        <w:tc>
          <w:tcPr>
            <w:tcW w:w="746" w:type="pct"/>
            <w:shd w:val="clear" w:color="auto" w:fill="FFFFFF"/>
            <w:vAlign w:val="center"/>
          </w:tcPr>
          <w:p w14:paraId="544D5D0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Post-rain inspection and sediment removal</w:t>
            </w:r>
          </w:p>
        </w:tc>
        <w:tc>
          <w:tcPr>
            <w:tcW w:w="2355" w:type="pct"/>
            <w:shd w:val="clear" w:color="auto" w:fill="FFFFFF"/>
            <w:vAlign w:val="center"/>
          </w:tcPr>
          <w:p w14:paraId="4396F2B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Assesses whether post-rain inspections identify ponding points, blocked facilities, and damaged locations, and whether drainage sediment is removed.</w:t>
            </w:r>
          </w:p>
        </w:tc>
        <w:tc>
          <w:tcPr>
            <w:tcW w:w="1429" w:type="pct"/>
            <w:shd w:val="clear" w:color="auto" w:fill="FFFFFF"/>
            <w:vAlign w:val="center"/>
          </w:tcPr>
          <w:p w14:paraId="16DA371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Palatino Linotype" w:hAnsi="Palatino Linotype" w:eastAsia="Times New Roman" w:cs="Times New Roman"/>
                <w:snapToGrid w:val="0"/>
                <w:color w:val="000000"/>
                <w:szCs w:val="22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szCs w:val="22"/>
                <w:lang w:val="en-US" w:eastAsia="de-DE" w:bidi="en-US"/>
              </w:rPr>
              <w:t>[4,25,38,42,47,48,49,53,77]</w:t>
            </w:r>
          </w:p>
        </w:tc>
      </w:tr>
      <w:tr w14:paraId="090D6C2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67" w:type="pct"/>
            <w:shd w:val="clear" w:color="auto" w:fill="FFFFFF"/>
            <w:vAlign w:val="center"/>
          </w:tcPr>
          <w:p w14:paraId="6C32D4D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I36</w:t>
            </w:r>
          </w:p>
        </w:tc>
        <w:tc>
          <w:tcPr>
            <w:tcW w:w="746" w:type="pct"/>
            <w:shd w:val="clear" w:color="auto" w:fill="FFFFFF"/>
            <w:vAlign w:val="center"/>
          </w:tcPr>
          <w:p w14:paraId="4ED344E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Closed-loop maintenance and rectification</w:t>
            </w:r>
          </w:p>
        </w:tc>
        <w:tc>
          <w:tcPr>
            <w:tcW w:w="2355" w:type="pct"/>
            <w:shd w:val="clear" w:color="auto" w:fill="FFFFFF"/>
            <w:vAlign w:val="center"/>
          </w:tcPr>
          <w:p w14:paraId="18351D5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Assesses whether stormwater-related problems follow a closed-loop process of discovery, recording, dispatch, repair, review, and repeated-problem rectification.</w:t>
            </w:r>
          </w:p>
        </w:tc>
        <w:tc>
          <w:tcPr>
            <w:tcW w:w="1429" w:type="pct"/>
            <w:shd w:val="clear" w:color="auto" w:fill="FFFFFF"/>
            <w:vAlign w:val="center"/>
          </w:tcPr>
          <w:p w14:paraId="2B99F66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Palatino Linotype" w:hAnsi="Palatino Linotype" w:eastAsia="Times New Roman" w:cs="Times New Roman"/>
                <w:snapToGrid w:val="0"/>
                <w:color w:val="000000"/>
                <w:szCs w:val="22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szCs w:val="22"/>
                <w:lang w:val="en-US" w:eastAsia="de-DE" w:bidi="en-US"/>
              </w:rPr>
              <w:t>[4,22,28,29,37,42,43,50,68]</w:t>
            </w:r>
          </w:p>
        </w:tc>
      </w:tr>
      <w:tr w14:paraId="6C9AEA2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67" w:type="pct"/>
            <w:tcBorders>
              <w:bottom w:val="single" w:color="auto" w:sz="12" w:space="0"/>
            </w:tcBorders>
            <w:shd w:val="clear" w:color="auto" w:fill="FFFFFF"/>
            <w:vAlign w:val="center"/>
          </w:tcPr>
          <w:p w14:paraId="134464C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I37</w:t>
            </w:r>
          </w:p>
        </w:tc>
        <w:tc>
          <w:tcPr>
            <w:tcW w:w="746" w:type="pct"/>
            <w:tcBorders>
              <w:bottom w:val="single" w:color="auto" w:sz="12" w:space="0"/>
            </w:tcBorders>
            <w:shd w:val="clear" w:color="auto" w:fill="FFFFFF"/>
            <w:vAlign w:val="center"/>
          </w:tcPr>
          <w:p w14:paraId="4BE0F48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Review feedback and data accumulation</w:t>
            </w:r>
          </w:p>
        </w:tc>
        <w:tc>
          <w:tcPr>
            <w:tcW w:w="2355" w:type="pct"/>
            <w:tcBorders>
              <w:bottom w:val="single" w:color="auto" w:sz="12" w:space="0"/>
            </w:tcBorders>
            <w:shd w:val="clear" w:color="auto" w:fill="FFFFFF"/>
            <w:vAlign w:val="center"/>
          </w:tcPr>
          <w:p w14:paraId="78B76F8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>Assesses whether post-event reviews summarize spatial failure, route congestion, and facility performance while collecting feedback, ponding locations, drainage recovery time, and maintenance records.</w:t>
            </w:r>
          </w:p>
        </w:tc>
        <w:tc>
          <w:tcPr>
            <w:tcW w:w="1429" w:type="pct"/>
            <w:tcBorders>
              <w:bottom w:val="single" w:color="auto" w:sz="12" w:space="0"/>
            </w:tcBorders>
            <w:shd w:val="clear" w:color="auto" w:fill="FFFFFF"/>
            <w:vAlign w:val="center"/>
          </w:tcPr>
          <w:p w14:paraId="0A28605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after="8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Palatino Linotype" w:hAnsi="Palatino Linotype" w:eastAsia="Times New Roman" w:cs="Times New Roman"/>
                <w:snapToGrid w:val="0"/>
                <w:color w:val="000000"/>
                <w:szCs w:val="22"/>
                <w:lang w:val="en-US" w:eastAsia="zh-CN" w:bidi="en-US"/>
              </w:rPr>
            </w:pPr>
            <w:r>
              <w:rPr>
                <w:rFonts w:hint="default" w:ascii="Palatino Linotype" w:hAnsi="Palatino Linotype" w:eastAsia="Times New Roman" w:cs="Times New Roman"/>
                <w:snapToGrid w:val="0"/>
                <w:color w:val="000000"/>
                <w:szCs w:val="22"/>
                <w:lang w:val="en-US" w:eastAsia="de-DE" w:bidi="en-US"/>
              </w:rPr>
              <w:t>[11,19,25,27,42,43,53,68]</w:t>
            </w:r>
          </w:p>
        </w:tc>
      </w:tr>
    </w:tbl>
    <w:p w14:paraId="70DBE9C6">
      <w:pPr>
        <w:spacing w:before="120" w:after="0" w:line="240" w:lineRule="auto"/>
      </w:pPr>
    </w:p>
    <w:sectPr>
      <w:pgSz w:w="12240" w:h="15840"/>
      <w:pgMar w:top="1417" w:right="720" w:bottom="907" w:left="72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1" w:fontKey="{47A2119D-9A50-4558-B10B-1D23468AEEB7}"/>
  </w:font>
  <w:font w:name="ＭＳ 明朝">
    <w:altName w:val="汇文明朝体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汇文明朝体">
    <w:panose1 w:val="02000600000000000000"/>
    <w:charset w:val="80"/>
    <w:family w:val="auto"/>
    <w:pitch w:val="default"/>
    <w:sig w:usb0="800002D7" w:usb1="1A4F6C50" w:usb2="00000010" w:usb3="00000000" w:csb0="00020003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  <w:embedRegular r:id="rId2" w:fontKey="{DFAAC9A4-BBE2-4700-9BDE-094F581E433E}"/>
  </w:font>
  <w:font w:name="Cordia New">
    <w:altName w:val="Microsoft Sans Serif"/>
    <w:panose1 w:val="020B0304020202020204"/>
    <w:charset w:val="DE"/>
    <w:family w:val="swiss"/>
    <w:pitch w:val="default"/>
    <w:sig w:usb0="00000000" w:usb1="00000000" w:usb2="00000000" w:usb3="00000000" w:csb0="00010001" w:csb1="00000000"/>
  </w:font>
  <w:font w:name="Microsoft Sans Serif">
    <w:panose1 w:val="020B0604020202020204"/>
    <w:charset w:val="00"/>
    <w:family w:val="auto"/>
    <w:pitch w:val="default"/>
    <w:sig w:usb0="E5002EFF" w:usb1="C000605B" w:usb2="00000029" w:usb3="00000000" w:csb0="200101FF" w:csb1="20280000"/>
  </w:font>
  <w:font w:name="ＭＳ 明朝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3" w:fontKey="{4F237830-A81F-42B9-B4A8-4CF674910973}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AF93406"/>
    <w:rsid w:val="225E3B67"/>
    <w:rsid w:val="2E3F5266"/>
    <w:rsid w:val="3BEA0B46"/>
    <w:rsid w:val="4FB63549"/>
    <w:rsid w:val="68FD51EE"/>
    <w:rsid w:val="72A330AF"/>
    <w:rsid w:val="754E6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  <w:style w:type="paragraph" w:customStyle="1" w:styleId="164">
    <w:name w:val="MDPI_4.1_table_caption"/>
    <w:qFormat/>
    <w:uiPriority w:val="0"/>
    <w:pPr>
      <w:adjustRightInd w:val="0"/>
      <w:snapToGrid w:val="0"/>
      <w:spacing w:before="240" w:after="120" w:line="280" w:lineRule="atLeast"/>
      <w:ind w:left="2608"/>
      <w:jc w:val="both"/>
    </w:pPr>
    <w:rPr>
      <w:rFonts w:ascii="Palatino Linotype" w:hAnsi="Palatino Linotype" w:eastAsia="Times New Roman" w:cs="Cordia New"/>
      <w:color w:val="000000"/>
      <w:sz w:val="18"/>
      <w:szCs w:val="22"/>
      <w:lang w:val="en-US" w:eastAsia="de-DE" w:bidi="en-US"/>
    </w:rPr>
  </w:style>
  <w:style w:type="paragraph" w:customStyle="1" w:styleId="165">
    <w:name w:val="MDPI_4.2_table_body"/>
    <w:qFormat/>
    <w:uiPriority w:val="0"/>
    <w:pPr>
      <w:adjustRightInd w:val="0"/>
      <w:snapToGrid w:val="0"/>
      <w:spacing w:line="260" w:lineRule="atLeast"/>
      <w:jc w:val="center"/>
    </w:pPr>
    <w:rPr>
      <w:rFonts w:ascii="Palatino Linotype" w:hAnsi="Palatino Linotype" w:eastAsia="Times New Roman" w:cs="Times New Roman"/>
      <w:snapToGrid w:val="0"/>
      <w:color w:val="000000"/>
      <w:lang w:val="en-US" w:eastAsia="de-DE" w:bidi="en-US"/>
    </w:rPr>
  </w:style>
  <w:style w:type="paragraph" w:customStyle="1" w:styleId="166">
    <w:name w:val="MDPI_2.1_heading1"/>
    <w:qFormat/>
    <w:uiPriority w:val="0"/>
    <w:pPr>
      <w:adjustRightInd w:val="0"/>
      <w:snapToGrid w:val="0"/>
      <w:spacing w:before="240" w:after="60" w:line="280" w:lineRule="atLeast"/>
      <w:ind w:left="2608"/>
      <w:outlineLvl w:val="0"/>
    </w:pPr>
    <w:rPr>
      <w:rFonts w:ascii="Palatino Linotype" w:hAnsi="Palatino Linotype" w:eastAsia="Times New Roman" w:cs="Times New Roman"/>
      <w:b/>
      <w:snapToGrid w:val="0"/>
      <w:color w:val="000000"/>
      <w:sz w:val="24"/>
      <w:szCs w:val="22"/>
      <w:lang w:val="en-US" w:eastAsia="de-DE" w:bidi="en-US"/>
    </w:rPr>
  </w:style>
  <w:style w:type="paragraph" w:customStyle="1" w:styleId="167">
    <w:name w:val="MDPI_5.2_figure"/>
    <w:qFormat/>
    <w:uiPriority w:val="0"/>
    <w:pPr>
      <w:adjustRightInd w:val="0"/>
      <w:snapToGrid w:val="0"/>
      <w:spacing w:before="240" w:after="120"/>
      <w:jc w:val="center"/>
    </w:pPr>
    <w:rPr>
      <w:rFonts w:ascii="Palatino Linotype" w:hAnsi="Palatino Linotype" w:eastAsia="Times New Roman" w:cs="Times New Roman"/>
      <w:snapToGrid w:val="0"/>
      <w:color w:val="000000"/>
      <w:lang w:val="en-US" w:eastAsia="de-DE" w:bidi="en-US"/>
    </w:rPr>
  </w:style>
  <w:style w:type="paragraph" w:customStyle="1" w:styleId="168">
    <w:name w:val="MDPI_5.1_figure_caption"/>
    <w:qFormat/>
    <w:uiPriority w:val="0"/>
    <w:pPr>
      <w:adjustRightInd w:val="0"/>
      <w:snapToGrid w:val="0"/>
      <w:spacing w:before="120" w:after="240" w:line="280" w:lineRule="atLeast"/>
      <w:ind w:left="2608"/>
      <w:jc w:val="both"/>
    </w:pPr>
    <w:rPr>
      <w:rFonts w:ascii="Palatino Linotype" w:hAnsi="Palatino Linotype" w:eastAsia="Times New Roman" w:cs="Times New Roman"/>
      <w:color w:val="000000"/>
      <w:sz w:val="18"/>
      <w:lang w:val="en-US" w:eastAsia="de-DE" w:bidi="en-U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857</Words>
  <Characters>6590</Characters>
  <DocSecurity>0</DocSecurity>
  <Lines>0</Lines>
  <Paragraphs>0</Paragraphs>
  <ScaleCrop>false</ScaleCrop>
  <LinksUpToDate>false</LinksUpToDate>
  <CharactersWithSpaces>7293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terms:modified xsi:type="dcterms:W3CDTF">2026-09-07T07:57:32Z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eyJoZGlkIjoiMjc5ZjdmZjFiMzhiN2IwMjI2NDM5OGI4ZDAxOTJjMWEiLCJ1c2VySWQiOiI0MTg0NTk5OTQifQ==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22736760C38649469F7715DF6DCA3CBE_12</vt:lpwstr>
  </property>
</Properties>
</file>