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CD9C0">
      <w:pPr>
        <w:spacing w:after="40"/>
        <w:jc w:val="left"/>
      </w:pPr>
      <w:r>
        <w:rPr>
          <w:rFonts w:ascii="Arial" w:hAnsi="Arial" w:eastAsia="Arial" w:cs="Arial"/>
          <w:b/>
          <w:color w:val="000000"/>
          <w:sz w:val="24"/>
          <w:szCs w:val="24"/>
        </w:rPr>
        <w:t>SUPPLEMENTARY APPENDIX S8</w:t>
      </w:r>
    </w:p>
    <w:p w14:paraId="0568D4D1">
      <w:pPr>
        <w:spacing w:after="60"/>
      </w:pPr>
      <w:r>
        <w:rPr>
          <w:rFonts w:ascii="Arial" w:hAnsi="Arial" w:eastAsia="Arial" w:cs="Arial"/>
          <w:b/>
          <w:color w:val="000000"/>
          <w:sz w:val="24"/>
          <w:szCs w:val="24"/>
        </w:rPr>
        <w:t>Data, Code, Authorship and Contributor Declarations</w:t>
      </w:r>
    </w:p>
    <w:p w14:paraId="51A997DB">
      <w:pPr>
        <w:spacing w:after="240"/>
      </w:pPr>
      <w:r>
        <w:rPr>
          <w:rFonts w:ascii="Arial" w:hAnsi="Arial" w:eastAsia="Arial" w:cs="Arial"/>
          <w:b w:val="0"/>
          <w:color w:val="000000"/>
          <w:sz w:val="24"/>
          <w:szCs w:val="24"/>
        </w:rPr>
        <w:t>Statements aligned with the manuscript and author-confirmed information</w:t>
      </w:r>
    </w:p>
    <w:tbl>
      <w:tblPr>
        <w:tblStyle w:val="32"/>
        <w:tblW w:w="0" w:type="auto"/>
        <w:tblInd w:w="0" w:type="dxa"/>
        <w:tblLayout w:type="fixed"/>
        <w:tblCellMar>
          <w:top w:w="0" w:type="dxa"/>
          <w:left w:w="108" w:type="dxa"/>
          <w:bottom w:w="0" w:type="dxa"/>
          <w:right w:w="108" w:type="dxa"/>
        </w:tblCellMar>
      </w:tblPr>
      <w:tblGrid>
        <w:gridCol w:w="2376"/>
        <w:gridCol w:w="7200"/>
      </w:tblGrid>
      <w:tr w14:paraId="276BDBDE">
        <w:tblPrEx>
          <w:tblCellMar>
            <w:top w:w="0" w:type="dxa"/>
            <w:left w:w="108" w:type="dxa"/>
            <w:bottom w:w="0" w:type="dxa"/>
            <w:right w:w="108" w:type="dxa"/>
          </w:tblCellMar>
        </w:tblPrEx>
        <w:trPr>
          <w:cantSplit/>
          <w:tblHeader/>
        </w:trPr>
        <w:tc>
          <w:tcPr>
            <w:tcW w:w="4824" w:type="dxa"/>
            <w:shd w:val="clear" w:color="auto" w:fill="auto"/>
            <w:tcMar>
              <w:top w:w="90" w:type="dxa"/>
              <w:left w:w="110" w:type="dxa"/>
              <w:bottom w:w="90" w:type="dxa"/>
              <w:right w:w="110" w:type="dxa"/>
            </w:tcMar>
            <w:vAlign w:val="center"/>
          </w:tcPr>
          <w:p w14:paraId="574AA0DC">
            <w:pPr>
              <w:spacing w:after="0"/>
            </w:pPr>
            <w:r>
              <w:rPr>
                <w:rFonts w:ascii="Arial" w:hAnsi="Arial" w:eastAsia="Arial" w:cs="Arial"/>
                <w:b/>
                <w:color w:val="000000"/>
                <w:sz w:val="24"/>
                <w:szCs w:val="24"/>
              </w:rPr>
              <w:t>Review</w:t>
            </w:r>
          </w:p>
        </w:tc>
        <w:tc>
          <w:tcPr>
            <w:tcW w:w="4824" w:type="dxa"/>
            <w:shd w:val="clear" w:color="auto" w:fill="F6F8FB"/>
            <w:tcMar>
              <w:top w:w="90" w:type="dxa"/>
              <w:left w:w="110" w:type="dxa"/>
              <w:bottom w:w="90" w:type="dxa"/>
              <w:right w:w="110" w:type="dxa"/>
            </w:tcMar>
            <w:vAlign w:val="center"/>
          </w:tcPr>
          <w:p w14:paraId="1A227D8E">
            <w:pPr>
              <w:spacing w:after="0"/>
            </w:pPr>
            <w:r>
              <w:rPr>
                <w:rFonts w:ascii="Arial" w:hAnsi="Arial" w:eastAsia="Arial" w:cs="Arial"/>
                <w:b w:val="0"/>
                <w:color w:val="000000"/>
                <w:sz w:val="24"/>
                <w:szCs w:val="24"/>
              </w:rPr>
              <w:t>Closed-Incision Negative-Pressure Wound Therapy for Preventing Surgical-Site Infection After Pelvic and Lower-Extremity Fracture Surgery: A Systematic Review and Meta-analysis</w:t>
            </w:r>
          </w:p>
        </w:tc>
      </w:tr>
      <w:tr w14:paraId="20987FD6">
        <w:tblPrEx>
          <w:tblCellMar>
            <w:top w:w="0" w:type="dxa"/>
            <w:left w:w="108" w:type="dxa"/>
            <w:bottom w:w="0" w:type="dxa"/>
            <w:right w:w="108" w:type="dxa"/>
          </w:tblCellMar>
        </w:tblPrEx>
        <w:trPr>
          <w:cantSplit/>
        </w:trPr>
        <w:tc>
          <w:tcPr>
            <w:tcW w:w="4824" w:type="dxa"/>
            <w:shd w:val="clear" w:color="auto" w:fill="auto"/>
            <w:tcMar>
              <w:top w:w="90" w:type="dxa"/>
              <w:left w:w="110" w:type="dxa"/>
              <w:bottom w:w="90" w:type="dxa"/>
              <w:right w:w="110" w:type="dxa"/>
            </w:tcMar>
            <w:vAlign w:val="center"/>
          </w:tcPr>
          <w:p w14:paraId="402E3323">
            <w:pPr>
              <w:spacing w:after="0"/>
            </w:pPr>
            <w:r>
              <w:rPr>
                <w:rFonts w:ascii="Arial" w:hAnsi="Arial" w:eastAsia="Arial" w:cs="Arial"/>
                <w:b/>
                <w:color w:val="000000"/>
                <w:sz w:val="24"/>
                <w:szCs w:val="24"/>
              </w:rPr>
              <w:t>Shared first authorship</w:t>
            </w:r>
          </w:p>
        </w:tc>
        <w:tc>
          <w:tcPr>
            <w:tcW w:w="4824" w:type="dxa"/>
            <w:shd w:val="clear" w:color="auto" w:fill="F6F8FB"/>
            <w:tcMar>
              <w:top w:w="90" w:type="dxa"/>
              <w:left w:w="110" w:type="dxa"/>
              <w:bottom w:w="90" w:type="dxa"/>
              <w:right w:w="110" w:type="dxa"/>
            </w:tcMar>
            <w:vAlign w:val="center"/>
          </w:tcPr>
          <w:p w14:paraId="5ADA8E7D">
            <w:pPr>
              <w:spacing w:after="0"/>
              <w:rPr>
                <w:rFonts w:hint="default"/>
                <w:lang w:val="en-US"/>
              </w:rPr>
            </w:pPr>
            <w:r>
              <w:rPr>
                <w:rFonts w:ascii="Arial" w:hAnsi="Arial" w:eastAsia="Arial" w:cs="Arial"/>
                <w:b w:val="0"/>
                <w:color w:val="000000"/>
                <w:sz w:val="24"/>
                <w:szCs w:val="24"/>
              </w:rPr>
              <w:t xml:space="preserve">Hangyuan Liu (HYL), Peiru Xian (PRX), Xinru Zhang (XRZ) and </w:t>
            </w:r>
            <w:r>
              <w:rPr>
                <w:rFonts w:hint="eastAsia" w:ascii="Arial" w:hAnsi="Arial" w:cs="Arial"/>
                <w:bCs/>
                <w:color w:val="000000" w:themeColor="text1"/>
                <w:sz w:val="24"/>
                <w:szCs w:val="24"/>
                <w:lang w:eastAsia="zh-CN"/>
                <w14:textFill>
                  <w14:solidFill>
                    <w14:schemeClr w14:val="tx1"/>
                  </w14:solidFill>
                </w14:textFill>
              </w:rPr>
              <w:t>Jing Liu</w:t>
            </w:r>
            <w:r>
              <w:rPr>
                <w:rFonts w:hint="eastAsia" w:cs="Arial"/>
                <w:bCs/>
                <w:color w:val="000000" w:themeColor="text1"/>
                <w:sz w:val="24"/>
                <w:szCs w:val="24"/>
                <w:lang w:val="en-US" w:eastAsia="zh-CN"/>
                <w14:textFill>
                  <w14:solidFill>
                    <w14:schemeClr w14:val="tx1"/>
                  </w14:solidFill>
                </w14:textFill>
              </w:rPr>
              <w:t>(JL)</w:t>
            </w:r>
          </w:p>
        </w:tc>
      </w:tr>
      <w:tr w14:paraId="4F6E63D8">
        <w:tblPrEx>
          <w:tblCellMar>
            <w:top w:w="0" w:type="dxa"/>
            <w:left w:w="108" w:type="dxa"/>
            <w:bottom w:w="0" w:type="dxa"/>
            <w:right w:w="108" w:type="dxa"/>
          </w:tblCellMar>
        </w:tblPrEx>
        <w:trPr>
          <w:cantSplit/>
        </w:trPr>
        <w:tc>
          <w:tcPr>
            <w:tcW w:w="4824" w:type="dxa"/>
            <w:shd w:val="clear" w:color="auto" w:fill="auto"/>
            <w:tcMar>
              <w:top w:w="90" w:type="dxa"/>
              <w:left w:w="110" w:type="dxa"/>
              <w:bottom w:w="90" w:type="dxa"/>
              <w:right w:w="110" w:type="dxa"/>
            </w:tcMar>
            <w:vAlign w:val="center"/>
          </w:tcPr>
          <w:p w14:paraId="0B592204">
            <w:pPr>
              <w:spacing w:after="0"/>
            </w:pPr>
            <w:r>
              <w:rPr>
                <w:rFonts w:ascii="Arial" w:hAnsi="Arial" w:eastAsia="Arial" w:cs="Arial"/>
                <w:b/>
                <w:color w:val="000000"/>
                <w:sz w:val="24"/>
                <w:szCs w:val="24"/>
              </w:rPr>
              <w:t>Corresponding authors</w:t>
            </w:r>
          </w:p>
        </w:tc>
        <w:tc>
          <w:tcPr>
            <w:tcW w:w="4824" w:type="dxa"/>
            <w:shd w:val="clear" w:color="auto" w:fill="F6F8FB"/>
            <w:tcMar>
              <w:top w:w="90" w:type="dxa"/>
              <w:left w:w="110" w:type="dxa"/>
              <w:bottom w:w="90" w:type="dxa"/>
              <w:right w:w="110" w:type="dxa"/>
            </w:tcMar>
            <w:vAlign w:val="center"/>
          </w:tcPr>
          <w:p w14:paraId="3D485225">
            <w:pPr>
              <w:spacing w:after="0"/>
            </w:pPr>
            <w:r>
              <w:rPr>
                <w:rFonts w:ascii="Arial" w:hAnsi="Arial" w:eastAsia="Arial" w:cs="Arial"/>
                <w:b w:val="0"/>
                <w:color w:val="000000"/>
                <w:sz w:val="24"/>
                <w:szCs w:val="24"/>
              </w:rPr>
              <w:t>Lin Ma (LM), Junjie Cao (JJC), and Yanru Chen (YRC)</w:t>
            </w:r>
          </w:p>
        </w:tc>
      </w:tr>
      <w:tr w14:paraId="1CB0C89A">
        <w:tblPrEx>
          <w:tblCellMar>
            <w:top w:w="0" w:type="dxa"/>
            <w:left w:w="108" w:type="dxa"/>
            <w:bottom w:w="0" w:type="dxa"/>
            <w:right w:w="108" w:type="dxa"/>
          </w:tblCellMar>
        </w:tblPrEx>
        <w:trPr>
          <w:cantSplit/>
        </w:trPr>
        <w:tc>
          <w:tcPr>
            <w:tcW w:w="4824" w:type="dxa"/>
            <w:shd w:val="clear" w:color="auto" w:fill="auto"/>
            <w:tcMar>
              <w:top w:w="90" w:type="dxa"/>
              <w:left w:w="110" w:type="dxa"/>
              <w:bottom w:w="90" w:type="dxa"/>
              <w:right w:w="110" w:type="dxa"/>
            </w:tcMar>
            <w:vAlign w:val="center"/>
          </w:tcPr>
          <w:p w14:paraId="3D1FFD52">
            <w:pPr>
              <w:spacing w:after="0"/>
            </w:pPr>
            <w:r>
              <w:rPr>
                <w:rFonts w:ascii="Arial" w:hAnsi="Arial" w:eastAsia="Arial" w:cs="Arial"/>
                <w:b/>
                <w:color w:val="000000"/>
                <w:sz w:val="24"/>
                <w:szCs w:val="24"/>
              </w:rPr>
              <w:t>Statistical lock</w:t>
            </w:r>
          </w:p>
        </w:tc>
        <w:tc>
          <w:tcPr>
            <w:tcW w:w="4824" w:type="dxa"/>
            <w:shd w:val="clear" w:color="auto" w:fill="F6F8FB"/>
            <w:tcMar>
              <w:top w:w="90" w:type="dxa"/>
              <w:left w:w="110" w:type="dxa"/>
              <w:bottom w:w="90" w:type="dxa"/>
              <w:right w:w="110" w:type="dxa"/>
            </w:tcMar>
            <w:vAlign w:val="center"/>
          </w:tcPr>
          <w:p w14:paraId="79FB194B">
            <w:pPr>
              <w:spacing w:after="0"/>
            </w:pPr>
            <w:r>
              <w:rPr>
                <w:rFonts w:ascii="Arial" w:hAnsi="Arial" w:eastAsia="Arial" w:cs="Arial"/>
                <w:b w:val="0"/>
                <w:color w:val="000000"/>
                <w:sz w:val="24"/>
                <w:szCs w:val="24"/>
              </w:rPr>
              <w:t>10 August 2026</w:t>
            </w:r>
          </w:p>
        </w:tc>
      </w:tr>
      <w:tr w14:paraId="7B444697">
        <w:tblPrEx>
          <w:tblCellMar>
            <w:top w:w="0" w:type="dxa"/>
            <w:left w:w="108" w:type="dxa"/>
            <w:bottom w:w="0" w:type="dxa"/>
            <w:right w:w="108" w:type="dxa"/>
          </w:tblCellMar>
        </w:tblPrEx>
        <w:trPr>
          <w:cantSplit/>
        </w:trPr>
        <w:tc>
          <w:tcPr>
            <w:tcW w:w="4824" w:type="dxa"/>
            <w:shd w:val="clear" w:color="auto" w:fill="auto"/>
            <w:tcMar>
              <w:top w:w="90" w:type="dxa"/>
              <w:left w:w="110" w:type="dxa"/>
              <w:bottom w:w="90" w:type="dxa"/>
              <w:right w:w="110" w:type="dxa"/>
            </w:tcMar>
            <w:vAlign w:val="center"/>
          </w:tcPr>
          <w:p w14:paraId="0842BEF1">
            <w:pPr>
              <w:spacing w:after="0"/>
            </w:pPr>
            <w:r>
              <w:rPr>
                <w:rFonts w:ascii="Arial" w:hAnsi="Arial" w:eastAsia="Arial" w:cs="Arial"/>
                <w:b/>
                <w:color w:val="000000"/>
                <w:sz w:val="24"/>
                <w:szCs w:val="24"/>
              </w:rPr>
              <w:t>Risk-of-bias consensus lock</w:t>
            </w:r>
          </w:p>
        </w:tc>
        <w:tc>
          <w:tcPr>
            <w:tcW w:w="4824" w:type="dxa"/>
            <w:shd w:val="clear" w:color="auto" w:fill="F6F8FB"/>
            <w:tcMar>
              <w:top w:w="90" w:type="dxa"/>
              <w:left w:w="110" w:type="dxa"/>
              <w:bottom w:w="90" w:type="dxa"/>
              <w:right w:w="110" w:type="dxa"/>
            </w:tcMar>
            <w:vAlign w:val="center"/>
          </w:tcPr>
          <w:p w14:paraId="017BF13E">
            <w:pPr>
              <w:spacing w:after="0"/>
            </w:pPr>
            <w:r>
              <w:rPr>
                <w:rFonts w:ascii="Arial" w:hAnsi="Arial" w:eastAsia="Arial" w:cs="Arial"/>
                <w:b w:val="0"/>
                <w:color w:val="000000"/>
                <w:sz w:val="24"/>
                <w:szCs w:val="24"/>
              </w:rPr>
              <w:t>13 August 2026</w:t>
            </w:r>
          </w:p>
        </w:tc>
      </w:tr>
    </w:tbl>
    <w:p w14:paraId="6FD296C7">
      <w:pPr>
        <w:pStyle w:val="3"/>
        <w:keepNext/>
        <w:spacing w:before="240" w:after="80"/>
      </w:pPr>
      <w:r>
        <w:rPr>
          <w:rFonts w:ascii="Arial" w:hAnsi="Arial" w:eastAsia="Arial" w:cs="Arial"/>
          <w:b/>
          <w:color w:val="000000"/>
          <w:sz w:val="24"/>
          <w:szCs w:val="24"/>
        </w:rPr>
        <w:t>1. Acknowledgments</w:t>
      </w:r>
    </w:p>
    <w:p w14:paraId="796B5A90">
      <w:pPr>
        <w:spacing w:before="120" w:beforeLines="50"/>
        <w:rPr>
          <w:rFonts w:ascii="Arial" w:hAnsi="Arial" w:cs="Arial"/>
          <w:bCs/>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This project is part of the collaborative effort between the information and research team of the International Humanitarian Aid Group, Al</w:t>
      </w:r>
      <w:r>
        <w:rPr>
          <w:rFonts w:hint="eastAsia" w:ascii="Arial" w:hAnsi="Arial" w:eastAsia="宋体" w:cs="Arial"/>
          <w:color w:val="000000" w:themeColor="text1"/>
          <w:sz w:val="24"/>
          <w:szCs w:val="24"/>
          <w:lang w:eastAsia="zh-CN"/>
          <w14:textFill>
            <w14:solidFill>
              <w14:schemeClr w14:val="tx1"/>
            </w14:solidFill>
          </w14:textFill>
        </w:rPr>
        <w:t>-</w:t>
      </w:r>
      <w:r>
        <w:rPr>
          <w:rFonts w:ascii="Arial" w:hAnsi="Arial" w:cs="Arial"/>
          <w:color w:val="000000" w:themeColor="text1"/>
          <w:sz w:val="24"/>
          <w:szCs w:val="24"/>
          <w14:textFill>
            <w14:solidFill>
              <w14:schemeClr w14:val="tx1"/>
            </w14:solidFill>
          </w14:textFill>
        </w:rPr>
        <w:t xml:space="preserve">Quds University in Palestine, and the National Cancer Institute of Ukraine. </w:t>
      </w:r>
    </w:p>
    <w:p w14:paraId="0089B5F6">
      <w:pPr>
        <w:pStyle w:val="3"/>
        <w:keepNext/>
        <w:spacing w:before="240" w:after="80"/>
      </w:pPr>
      <w:bookmarkStart w:id="0" w:name="_GoBack"/>
      <w:bookmarkEnd w:id="0"/>
      <w:r>
        <w:rPr>
          <w:rFonts w:ascii="Arial" w:hAnsi="Arial" w:eastAsia="Arial" w:cs="Arial"/>
          <w:b/>
          <w:color w:val="000000"/>
          <w:sz w:val="24"/>
          <w:szCs w:val="24"/>
        </w:rPr>
        <w:t>2. Funding</w:t>
      </w:r>
    </w:p>
    <w:p w14:paraId="71896D5E">
      <w:pPr>
        <w:spacing w:before="120" w:beforeLines="50"/>
        <w:rPr>
          <w:rFonts w:ascii="Arial" w:hAnsi="Arial" w:cs="Arial"/>
          <w:color w:val="000000" w:themeColor="text1"/>
          <w:sz w:val="24"/>
          <w:szCs w:val="24"/>
          <w14:textFill>
            <w14:solidFill>
              <w14:schemeClr w14:val="tx1"/>
            </w14:solidFill>
          </w14:textFill>
        </w:rPr>
      </w:pPr>
      <w:r>
        <w:rPr>
          <w:rFonts w:hint="eastAsia" w:ascii="Arial" w:hAnsi="Arial" w:cs="Arial"/>
          <w:color w:val="000000" w:themeColor="text1"/>
          <w:sz w:val="24"/>
          <w:szCs w:val="24"/>
          <w14:textFill>
            <w14:solidFill>
              <w14:schemeClr w14:val="tx1"/>
            </w14:solidFill>
          </w14:textFill>
        </w:rPr>
        <w:t>The author(s) declared that financial support was received for</w:t>
      </w:r>
      <w:r>
        <w:rPr>
          <w:rFonts w:hint="eastAsia" w:ascii="Arial" w:hAnsi="Arial" w:cs="Arial"/>
          <w:color w:val="000000" w:themeColor="text1"/>
          <w:sz w:val="24"/>
          <w:szCs w:val="24"/>
          <w:lang w:val="en-US" w:eastAsia="zh-CN"/>
          <w14:textFill>
            <w14:solidFill>
              <w14:schemeClr w14:val="tx1"/>
            </w14:solidFill>
          </w14:textFill>
        </w:rPr>
        <w:t xml:space="preserve"> </w:t>
      </w:r>
      <w:r>
        <w:rPr>
          <w:rFonts w:hint="eastAsia" w:ascii="Arial" w:hAnsi="Arial" w:cs="Arial"/>
          <w:color w:val="000000" w:themeColor="text1"/>
          <w:sz w:val="24"/>
          <w:szCs w:val="24"/>
          <w14:textFill>
            <w14:solidFill>
              <w14:schemeClr w14:val="tx1"/>
            </w14:solidFill>
          </w14:textFill>
        </w:rPr>
        <w:t>this work and/or its publication. This study was supported and</w:t>
      </w:r>
      <w:r>
        <w:rPr>
          <w:rFonts w:hint="eastAsia" w:ascii="Arial" w:hAnsi="Arial" w:cs="Arial"/>
          <w:color w:val="000000" w:themeColor="text1"/>
          <w:sz w:val="24"/>
          <w:szCs w:val="24"/>
          <w:lang w:val="en-US" w:eastAsia="zh-CN"/>
          <w14:textFill>
            <w14:solidFill>
              <w14:schemeClr w14:val="tx1"/>
            </w14:solidFill>
          </w14:textFill>
        </w:rPr>
        <w:t xml:space="preserve"> </w:t>
      </w:r>
      <w:r>
        <w:rPr>
          <w:rFonts w:hint="eastAsia" w:ascii="Arial" w:hAnsi="Arial" w:cs="Arial"/>
          <w:color w:val="000000" w:themeColor="text1"/>
          <w:sz w:val="24"/>
          <w:szCs w:val="24"/>
          <w14:textFill>
            <w14:solidFill>
              <w14:schemeClr w14:val="tx1"/>
            </w14:solidFill>
          </w14:textFill>
        </w:rPr>
        <w:t>funded by North Sichuan Medical College University-LevelScientific Research Development Fund Project (CBY22-QNA07)</w:t>
      </w:r>
      <w:r>
        <w:rPr>
          <w:rFonts w:hint="eastAsia" w:ascii="Arial" w:hAnsi="Arial" w:cs="Arial"/>
          <w:color w:val="000000" w:themeColor="text1"/>
          <w:sz w:val="24"/>
          <w:szCs w:val="24"/>
          <w:lang w:val="en-US" w:eastAsia="zh-CN"/>
          <w14:textFill>
            <w14:solidFill>
              <w14:schemeClr w14:val="tx1"/>
            </w14:solidFill>
          </w14:textFill>
        </w:rPr>
        <w:t xml:space="preserve"> </w:t>
      </w:r>
      <w:r>
        <w:rPr>
          <w:rFonts w:hint="eastAsia" w:ascii="Arial" w:hAnsi="Arial" w:cs="Arial"/>
          <w:color w:val="000000" w:themeColor="text1"/>
          <w:sz w:val="24"/>
          <w:szCs w:val="24"/>
          <w14:textFill>
            <w14:solidFill>
              <w14:schemeClr w14:val="tx1"/>
            </w14:solidFill>
          </w14:textFill>
        </w:rPr>
        <w:t>and the North Sichuan Medical College College Student Innovation</w:t>
      </w:r>
      <w:r>
        <w:rPr>
          <w:rFonts w:hint="eastAsia" w:ascii="Arial" w:hAnsi="Arial" w:cs="Arial"/>
          <w:color w:val="000000" w:themeColor="text1"/>
          <w:sz w:val="24"/>
          <w:szCs w:val="24"/>
          <w:lang w:val="en-US" w:eastAsia="zh-CN"/>
          <w14:textFill>
            <w14:solidFill>
              <w14:schemeClr w14:val="tx1"/>
            </w14:solidFill>
          </w14:textFill>
        </w:rPr>
        <w:t xml:space="preserve"> </w:t>
      </w:r>
      <w:r>
        <w:rPr>
          <w:rFonts w:hint="eastAsia" w:ascii="Arial" w:hAnsi="Arial" w:cs="Arial"/>
          <w:color w:val="000000" w:themeColor="text1"/>
          <w:sz w:val="24"/>
          <w:szCs w:val="24"/>
          <w14:textFill>
            <w14:solidFill>
              <w14:schemeClr w14:val="tx1"/>
            </w14:solidFill>
          </w14:textFill>
        </w:rPr>
        <w:t>and Entrepreneurship Training Program Project (202610634006)</w:t>
      </w:r>
    </w:p>
    <w:p w14:paraId="2589123D">
      <w:pPr>
        <w:pStyle w:val="3"/>
        <w:keepNext/>
        <w:spacing w:before="240" w:after="80"/>
      </w:pPr>
      <w:r>
        <w:rPr>
          <w:rFonts w:ascii="Arial" w:hAnsi="Arial" w:eastAsia="Arial" w:cs="Arial"/>
          <w:b/>
          <w:color w:val="000000"/>
          <w:sz w:val="24"/>
          <w:szCs w:val="24"/>
        </w:rPr>
        <w:t>3. Author contributions</w:t>
      </w:r>
    </w:p>
    <w:p w14:paraId="62C94D27">
      <w:pPr>
        <w:spacing w:before="120" w:beforeLines="50"/>
        <w:rPr>
          <w:rFonts w:ascii="Arial" w:hAnsi="Arial" w:cs="Arial"/>
          <w:color w:val="000000" w:themeColor="text1"/>
          <w:sz w:val="24"/>
          <w:szCs w:val="24"/>
          <w14:textFill>
            <w14:solidFill>
              <w14:schemeClr w14:val="tx1"/>
            </w14:solidFill>
          </w14:textFill>
        </w:rPr>
      </w:pPr>
      <w:r>
        <w:rPr>
          <w:rFonts w:hint="eastAsia" w:ascii="Arial" w:hAnsi="Arial" w:eastAsia="宋体" w:cs="Arial"/>
          <w:color w:val="000000" w:themeColor="text1"/>
          <w:sz w:val="24"/>
          <w:szCs w:val="24"/>
          <w:lang w:eastAsia="zh-CN"/>
          <w14:textFill>
            <w14:solidFill>
              <w14:schemeClr w14:val="tx1"/>
            </w14:solidFill>
          </w14:textFill>
        </w:rPr>
        <w:t>HYL</w:t>
      </w:r>
      <w:r>
        <w:rPr>
          <w:rFonts w:hint="eastAsia" w:ascii="Arial" w:hAnsi="Arial" w:eastAsia="宋体" w:cs="Arial"/>
          <w:color w:val="000000" w:themeColor="text1"/>
          <w:sz w:val="24"/>
          <w:szCs w:val="24"/>
          <w:lang w:val="en-US" w:eastAsia="zh-CN"/>
          <w14:textFill>
            <w14:solidFill>
              <w14:schemeClr w14:val="tx1"/>
            </w14:solidFill>
          </w14:textFill>
        </w:rPr>
        <w:t xml:space="preserve"> </w:t>
      </w:r>
      <w:r>
        <w:rPr>
          <w:rFonts w:ascii="Arial" w:hAnsi="Arial" w:cs="Arial"/>
          <w:color w:val="000000" w:themeColor="text1"/>
          <w:sz w:val="24"/>
          <w:szCs w:val="24"/>
          <w14:textFill>
            <w14:solidFill>
              <w14:schemeClr w14:val="tx1"/>
            </w14:solidFill>
          </w14:textFill>
        </w:rPr>
        <w:t xml:space="preserve">contributed to the conception, design of the study, analysis and interpretation of the data and manuscript drafting; </w:t>
      </w:r>
      <w:r>
        <w:rPr>
          <w:rFonts w:hint="eastAsia" w:ascii="Arial" w:hAnsi="Arial" w:eastAsia="宋体" w:cs="Arial"/>
          <w:color w:val="000000" w:themeColor="text1"/>
          <w:sz w:val="24"/>
          <w:szCs w:val="24"/>
          <w:lang w:eastAsia="zh-CN"/>
          <w14:textFill>
            <w14:solidFill>
              <w14:schemeClr w14:val="tx1"/>
            </w14:solidFill>
          </w14:textFill>
        </w:rPr>
        <w:t>PRX</w:t>
      </w:r>
      <w:r>
        <w:rPr>
          <w:rFonts w:ascii="Arial" w:hAnsi="Arial" w:cs="Arial"/>
          <w:color w:val="000000" w:themeColor="text1"/>
          <w:sz w:val="24"/>
          <w:szCs w:val="24"/>
          <w14:textFill>
            <w14:solidFill>
              <w14:schemeClr w14:val="tx1"/>
            </w14:solidFill>
          </w14:textFill>
        </w:rPr>
        <w:t>, XRZ</w:t>
      </w:r>
      <w:r>
        <w:rPr>
          <w:rFonts w:hint="eastAsia" w:ascii="Arial" w:hAnsi="Arial" w:eastAsia="宋体" w:cs="Arial"/>
          <w:color w:val="000000" w:themeColor="text1"/>
          <w:sz w:val="24"/>
          <w:szCs w:val="24"/>
          <w:lang w:val="en-US" w:eastAsia="zh-CN"/>
          <w14:textFill>
            <w14:solidFill>
              <w14:schemeClr w14:val="tx1"/>
            </w14:solidFill>
          </w14:textFill>
        </w:rPr>
        <w:t>,</w:t>
      </w:r>
      <w:r>
        <w:rPr>
          <w:rFonts w:ascii="Arial" w:hAnsi="Arial" w:cs="Arial"/>
          <w:color w:val="000000" w:themeColor="text1"/>
          <w:sz w:val="24"/>
          <w:szCs w:val="24"/>
          <w14:textFill>
            <w14:solidFill>
              <w14:schemeClr w14:val="tx1"/>
            </w14:solidFill>
          </w14:textFill>
        </w:rPr>
        <w:t xml:space="preserve"> </w:t>
      </w:r>
      <w:r>
        <w:rPr>
          <w:rFonts w:hint="eastAsia" w:ascii="Arial" w:hAnsi="Arial" w:eastAsia="宋体" w:cs="Arial"/>
          <w:color w:val="000000" w:themeColor="text1"/>
          <w:sz w:val="24"/>
          <w:szCs w:val="24"/>
          <w:lang w:eastAsia="zh-CN"/>
          <w14:textFill>
            <w14:solidFill>
              <w14:schemeClr w14:val="tx1"/>
            </w14:solidFill>
          </w14:textFill>
        </w:rPr>
        <w:t>JL</w:t>
      </w:r>
      <w:r>
        <w:rPr>
          <w:rFonts w:hint="eastAsia" w:ascii="Arial" w:hAnsi="Arial" w:eastAsia="宋体" w:cs="Arial"/>
          <w:color w:val="000000" w:themeColor="text1"/>
          <w:sz w:val="24"/>
          <w:szCs w:val="24"/>
          <w:lang w:val="en-US" w:eastAsia="zh-CN"/>
          <w14:textFill>
            <w14:solidFill>
              <w14:schemeClr w14:val="tx1"/>
            </w14:solidFill>
          </w14:textFill>
        </w:rPr>
        <w:t xml:space="preserve"> and</w:t>
      </w:r>
      <w:r>
        <w:rPr>
          <w:rFonts w:ascii="Arial" w:hAnsi="Arial" w:cs="Arial"/>
          <w:color w:val="000000" w:themeColor="text1"/>
          <w:sz w:val="24"/>
          <w:szCs w:val="24"/>
          <w14:textFill>
            <w14:solidFill>
              <w14:schemeClr w14:val="tx1"/>
            </w14:solidFill>
          </w14:textFill>
        </w:rPr>
        <w:t xml:space="preserve"> </w:t>
      </w:r>
      <w:r>
        <w:rPr>
          <w:rFonts w:hint="eastAsia" w:ascii="Arial" w:hAnsi="Arial" w:eastAsia="宋体" w:cs="Arial"/>
          <w:color w:val="000000" w:themeColor="text1"/>
          <w:sz w:val="24"/>
          <w:szCs w:val="24"/>
          <w:lang w:val="en-US" w:eastAsia="zh-CN"/>
          <w14:textFill>
            <w14:solidFill>
              <w14:schemeClr w14:val="tx1"/>
            </w14:solidFill>
          </w14:textFill>
        </w:rPr>
        <w:t xml:space="preserve">LCZ </w:t>
      </w:r>
      <w:r>
        <w:rPr>
          <w:rFonts w:ascii="Arial" w:hAnsi="Arial" w:cs="Arial"/>
          <w:color w:val="000000" w:themeColor="text1"/>
          <w:sz w:val="24"/>
          <w:szCs w:val="24"/>
          <w14:textFill>
            <w14:solidFill>
              <w14:schemeClr w14:val="tx1"/>
            </w14:solidFill>
          </w14:textFill>
        </w:rPr>
        <w:t xml:space="preserve">contributed to the conception, design of the study, analysis and interpretation of the data; </w:t>
      </w:r>
      <w:r>
        <w:rPr>
          <w:rFonts w:hint="eastAsia" w:ascii="Arial" w:hAnsi="Arial" w:eastAsia="宋体" w:cs="Arial"/>
          <w:color w:val="000000" w:themeColor="text1"/>
          <w:sz w:val="24"/>
          <w:szCs w:val="24"/>
          <w:lang w:eastAsia="zh-CN"/>
          <w14:textFill>
            <w14:solidFill>
              <w14:schemeClr w14:val="tx1"/>
            </w14:solidFill>
          </w14:textFill>
        </w:rPr>
        <w:t>QYT</w:t>
      </w:r>
      <w:r>
        <w:rPr>
          <w:rFonts w:hint="eastAsia" w:ascii="Arial" w:hAnsi="Arial" w:eastAsia="宋体" w:cs="Arial"/>
          <w:color w:val="000000" w:themeColor="text1"/>
          <w:sz w:val="24"/>
          <w:szCs w:val="24"/>
          <w:lang w:val="en-US" w:eastAsia="zh-CN"/>
          <w14:textFill>
            <w14:solidFill>
              <w14:schemeClr w14:val="tx1"/>
            </w14:solidFill>
          </w14:textFill>
        </w:rPr>
        <w:t xml:space="preserve">, </w:t>
      </w:r>
      <w:r>
        <w:rPr>
          <w:rFonts w:hint="eastAsia" w:ascii="Arial" w:hAnsi="Arial" w:eastAsia="宋体" w:cs="Arial"/>
          <w:color w:val="000000" w:themeColor="text1"/>
          <w:sz w:val="24"/>
          <w:szCs w:val="24"/>
          <w:lang w:eastAsia="zh-CN"/>
          <w14:textFill>
            <w14:solidFill>
              <w14:schemeClr w14:val="tx1"/>
            </w14:solidFill>
          </w14:textFill>
        </w:rPr>
        <w:t>JQG</w:t>
      </w:r>
      <w:r>
        <w:rPr>
          <w:rFonts w:hint="eastAsia" w:ascii="Arial" w:hAnsi="Arial" w:eastAsia="宋体" w:cs="Arial"/>
          <w:color w:val="000000" w:themeColor="text1"/>
          <w:sz w:val="24"/>
          <w:szCs w:val="24"/>
          <w:lang w:val="en-US" w:eastAsia="zh-CN"/>
          <w14:textFill>
            <w14:solidFill>
              <w14:schemeClr w14:val="tx1"/>
            </w14:solidFill>
          </w14:textFill>
        </w:rPr>
        <w:t>,</w:t>
      </w:r>
      <w:r>
        <w:rPr>
          <w:rFonts w:ascii="Arial" w:hAnsi="Arial" w:cs="Arial"/>
          <w:color w:val="000000" w:themeColor="text1"/>
          <w:sz w:val="24"/>
          <w:szCs w:val="24"/>
          <w14:textFill>
            <w14:solidFill>
              <w14:schemeClr w14:val="tx1"/>
            </w14:solidFill>
          </w14:textFill>
        </w:rPr>
        <w:t xml:space="preserve"> </w:t>
      </w:r>
      <w:r>
        <w:rPr>
          <w:rFonts w:hint="eastAsia" w:ascii="Arial" w:hAnsi="Arial" w:eastAsia="宋体" w:cs="Arial"/>
          <w:color w:val="000000" w:themeColor="text1"/>
          <w:sz w:val="24"/>
          <w:szCs w:val="24"/>
          <w:lang w:val="en-US" w:eastAsia="zh-CN"/>
          <w14:textFill>
            <w14:solidFill>
              <w14:schemeClr w14:val="tx1"/>
            </w14:solidFill>
          </w14:textFill>
        </w:rPr>
        <w:t xml:space="preserve">HQW, ZRZ and ZHL </w:t>
      </w:r>
      <w:r>
        <w:rPr>
          <w:rFonts w:ascii="Arial" w:hAnsi="Arial" w:cs="Arial"/>
          <w:color w:val="000000" w:themeColor="text1"/>
          <w:sz w:val="24"/>
          <w:szCs w:val="24"/>
          <w14:textFill>
            <w14:solidFill>
              <w14:schemeClr w14:val="tx1"/>
            </w14:solidFill>
          </w14:textFill>
        </w:rPr>
        <w:t>contributed to the design of the study, analysis and interpretation of the data and manuscript drafting;</w:t>
      </w:r>
      <w:r>
        <w:rPr>
          <w:rFonts w:hint="eastAsia" w:ascii="Arial" w:hAnsi="Arial" w:eastAsia="宋体" w:cs="Arial"/>
          <w:color w:val="000000" w:themeColor="text1"/>
          <w:sz w:val="24"/>
          <w:szCs w:val="24"/>
          <w:lang w:eastAsia="zh-CN"/>
          <w14:textFill>
            <w14:solidFill>
              <w14:schemeClr w14:val="tx1"/>
            </w14:solidFill>
          </w14:textFill>
        </w:rPr>
        <w:t xml:space="preserve"> YRC</w:t>
      </w:r>
      <w:r>
        <w:rPr>
          <w:rFonts w:ascii="Arial" w:hAnsi="Arial" w:cs="Arial"/>
          <w:color w:val="000000" w:themeColor="text1"/>
          <w:sz w:val="24"/>
          <w:szCs w:val="24"/>
          <w14:textFill>
            <w14:solidFill>
              <w14:schemeClr w14:val="tx1"/>
            </w14:solidFill>
          </w14:textFill>
        </w:rPr>
        <w:t xml:space="preserve">, </w:t>
      </w:r>
      <w:r>
        <w:rPr>
          <w:rFonts w:hint="eastAsia" w:ascii="Arial" w:hAnsi="Arial" w:eastAsia="宋体" w:cs="Arial"/>
          <w:color w:val="000000" w:themeColor="text1"/>
          <w:sz w:val="24"/>
          <w:szCs w:val="24"/>
          <w:lang w:eastAsia="zh-CN"/>
          <w14:textFill>
            <w14:solidFill>
              <w14:schemeClr w14:val="tx1"/>
            </w14:solidFill>
          </w14:textFill>
        </w:rPr>
        <w:t xml:space="preserve">JJC </w:t>
      </w:r>
      <w:r>
        <w:rPr>
          <w:rFonts w:ascii="Arial" w:hAnsi="Arial" w:cs="Arial"/>
          <w:color w:val="000000" w:themeColor="text1"/>
          <w:sz w:val="24"/>
          <w:szCs w:val="24"/>
          <w14:textFill>
            <w14:solidFill>
              <w14:schemeClr w14:val="tx1"/>
            </w14:solidFill>
          </w14:textFill>
        </w:rPr>
        <w:t xml:space="preserve">and </w:t>
      </w:r>
      <w:r>
        <w:rPr>
          <w:rFonts w:hint="eastAsia" w:ascii="Arial" w:hAnsi="Arial" w:eastAsia="宋体" w:cs="Arial"/>
          <w:color w:val="000000" w:themeColor="text1"/>
          <w:sz w:val="24"/>
          <w:szCs w:val="24"/>
          <w:lang w:eastAsia="zh-CN"/>
          <w14:textFill>
            <w14:solidFill>
              <w14:schemeClr w14:val="tx1"/>
            </w14:solidFill>
          </w14:textFill>
        </w:rPr>
        <w:t>LM</w:t>
      </w:r>
      <w:r>
        <w:rPr>
          <w:rFonts w:ascii="Arial" w:hAnsi="Arial" w:cs="Arial"/>
          <w:color w:val="000000" w:themeColor="text1"/>
          <w:sz w:val="24"/>
          <w:szCs w:val="24"/>
          <w14:textFill>
            <w14:solidFill>
              <w14:schemeClr w14:val="tx1"/>
            </w14:solidFill>
          </w14:textFill>
        </w:rPr>
        <w:t xml:space="preserve"> contributed to project administration; supervision; and funding acquisition and review. All authors contributed to the critically revised manuscript and provided approval for submission.</w:t>
      </w:r>
    </w:p>
    <w:p w14:paraId="5633A3E8">
      <w:pPr>
        <w:pStyle w:val="3"/>
        <w:keepNext/>
        <w:spacing w:before="240" w:after="80"/>
      </w:pPr>
      <w:r>
        <w:rPr>
          <w:rFonts w:ascii="Arial" w:hAnsi="Arial" w:eastAsia="Arial" w:cs="Arial"/>
          <w:b/>
          <w:color w:val="000000"/>
          <w:sz w:val="24"/>
          <w:szCs w:val="24"/>
        </w:rPr>
        <w:t>4. Competing interests</w:t>
      </w:r>
    </w:p>
    <w:p w14:paraId="712F7198">
      <w:pPr>
        <w:spacing w:after="120" w:line="259" w:lineRule="auto"/>
      </w:pPr>
      <w:r>
        <w:rPr>
          <w:rFonts w:ascii="Arial" w:hAnsi="Arial" w:eastAsia="Arial" w:cs="Arial"/>
          <w:b w:val="0"/>
          <w:color w:val="000000"/>
          <w:sz w:val="24"/>
          <w:szCs w:val="24"/>
        </w:rPr>
        <w:t>The authors declare no competing interests.</w:t>
      </w:r>
    </w:p>
    <w:p w14:paraId="2CAC2F94">
      <w:pPr>
        <w:pStyle w:val="3"/>
        <w:keepNext/>
        <w:spacing w:before="240" w:after="80"/>
      </w:pPr>
      <w:r>
        <w:rPr>
          <w:rFonts w:ascii="Arial" w:hAnsi="Arial" w:eastAsia="Arial" w:cs="Arial"/>
          <w:b/>
          <w:color w:val="000000"/>
          <w:sz w:val="24"/>
          <w:szCs w:val="24"/>
        </w:rPr>
        <w:t>5. Ethics approval and consent</w:t>
      </w:r>
    </w:p>
    <w:p w14:paraId="236B3779">
      <w:pPr>
        <w:spacing w:after="120" w:line="259" w:lineRule="auto"/>
      </w:pPr>
      <w:r>
        <w:rPr>
          <w:rFonts w:ascii="Arial" w:hAnsi="Arial" w:eastAsia="Arial" w:cs="Arial"/>
          <w:b w:val="0"/>
          <w:color w:val="000000"/>
          <w:sz w:val="24"/>
          <w:szCs w:val="24"/>
        </w:rPr>
        <w:t>Ethics committee approval and individual informed consent were not required because this systematic review and meta-analysis used only published aggregate data and involved no recruitment, intervention, access to identifiable private information, or individual participant-level data.</w:t>
      </w:r>
    </w:p>
    <w:p w14:paraId="1A321AEC">
      <w:pPr>
        <w:pStyle w:val="3"/>
        <w:keepNext/>
        <w:spacing w:before="240" w:after="80"/>
      </w:pPr>
      <w:r>
        <w:rPr>
          <w:rFonts w:ascii="Arial" w:hAnsi="Arial" w:eastAsia="Arial" w:cs="Arial"/>
          <w:b/>
          <w:color w:val="000000"/>
          <w:sz w:val="24"/>
          <w:szCs w:val="24"/>
        </w:rPr>
        <w:t>6. Registration and protocol</w:t>
      </w:r>
    </w:p>
    <w:p w14:paraId="44B4BDC2">
      <w:pPr>
        <w:spacing w:after="120" w:line="259" w:lineRule="auto"/>
      </w:pPr>
      <w:r>
        <w:rPr>
          <w:rFonts w:ascii="Arial" w:hAnsi="Arial" w:eastAsia="Arial" w:cs="Arial"/>
          <w:b w:val="0"/>
          <w:color w:val="000000"/>
          <w:sz w:val="24"/>
          <w:szCs w:val="24"/>
        </w:rPr>
        <w:t>The review was not prospectively registered; a subsequent PROSPERO record was created (CRD420261496039). Eligibility criteria, the outcome hierarchy, and analytic conventions were specified in the project protocol before quantitative synthesis.</w:t>
      </w:r>
    </w:p>
    <w:p w14:paraId="032CBD8C">
      <w:pPr>
        <w:pStyle w:val="3"/>
        <w:keepNext/>
        <w:spacing w:before="240" w:after="80"/>
      </w:pPr>
      <w:r>
        <w:rPr>
          <w:rFonts w:ascii="Arial" w:hAnsi="Arial" w:eastAsia="Arial" w:cs="Arial"/>
          <w:b/>
          <w:color w:val="000000"/>
          <w:sz w:val="24"/>
          <w:szCs w:val="24"/>
        </w:rPr>
        <w:t>7. Data and code availability</w:t>
      </w:r>
    </w:p>
    <w:p w14:paraId="235EAF90">
      <w:pPr>
        <w:spacing w:after="120" w:line="259" w:lineRule="auto"/>
      </w:pPr>
      <w:r>
        <w:rPr>
          <w:rFonts w:ascii="Arial" w:hAnsi="Arial" w:eastAsia="Arial" w:cs="Arial"/>
          <w:b w:val="0"/>
          <w:color w:val="000000"/>
          <w:sz w:val="24"/>
          <w:szCs w:val="24"/>
        </w:rPr>
        <w:t>Study-level extracted data, locked analytical inputs, final risk-of-bias consensus assessments, and analysis and figure-generation code supporting this review are provided in the supplementary materials. No individual participant-level data were collected or analysed.</w:t>
      </w:r>
    </w:p>
    <w:p w14:paraId="4525E056">
      <w:pPr>
        <w:pStyle w:val="3"/>
        <w:keepNext/>
        <w:spacing w:before="240" w:after="80"/>
      </w:pPr>
      <w:r>
        <w:rPr>
          <w:rFonts w:ascii="Arial" w:hAnsi="Arial" w:eastAsia="Arial" w:cs="Arial"/>
          <w:b/>
          <w:color w:val="000000"/>
          <w:sz w:val="24"/>
          <w:szCs w:val="24"/>
        </w:rPr>
        <w:t>8. Review-process clarification</w:t>
      </w:r>
    </w:p>
    <w:p w14:paraId="2C9F6310">
      <w:pPr>
        <w:spacing w:after="120" w:line="259" w:lineRule="auto"/>
      </w:pPr>
      <w:r>
        <w:rPr>
          <w:rFonts w:ascii="Arial" w:hAnsi="Arial" w:eastAsia="Arial" w:cs="Arial"/>
          <w:b w:val="0"/>
          <w:color w:val="000000"/>
          <w:sz w:val="24"/>
          <w:szCs w:val="24"/>
        </w:rPr>
        <w:t>Two reviewers independently completed title and abstract screening, full-text eligibility assessment, data extraction, and result-specific risk-of-bias assessment. Disagreements were resolved by discussion and consensus after rechecking the relevant full reports. No automation tool made eligibility decisions, and study authors were not contacted for additional or clarifying data.</w:t>
      </w:r>
    </w:p>
    <w:sectPr>
      <w:headerReference r:id="rId7" w:type="first"/>
      <w:footerReference r:id="rId10" w:type="first"/>
      <w:headerReference r:id="rId5" w:type="default"/>
      <w:footerReference r:id="rId8" w:type="default"/>
      <w:headerReference r:id="rId6" w:type="even"/>
      <w:footerReference r:id="rId9" w:type="even"/>
      <w:pgSz w:w="12240" w:h="15840"/>
      <w:pgMar w:top="1152" w:right="1296" w:bottom="1080" w:left="1296"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auto"/>
    <w:pitch w:val="default"/>
    <w:sig w:usb0="E00002FF" w:usb1="6AC7FDFB" w:usb2="08000012" w:usb3="00000000" w:csb0="4002009F" w:csb1="DFD7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2"/>
      <w:tblW w:w="0" w:type="auto"/>
      <w:jc w:val="center"/>
      <w:tblLayout w:type="fixed"/>
      <w:tblCellMar>
        <w:top w:w="0" w:type="dxa"/>
        <w:left w:w="108" w:type="dxa"/>
        <w:bottom w:w="0" w:type="dxa"/>
        <w:right w:w="108" w:type="dxa"/>
      </w:tblCellMar>
    </w:tblPr>
    <w:tblGrid>
      <w:gridCol w:w="6768"/>
      <w:gridCol w:w="2880"/>
    </w:tblGrid>
    <w:tr w14:paraId="0B42B990">
      <w:tblPrEx>
        <w:tblCellMar>
          <w:top w:w="0" w:type="dxa"/>
          <w:left w:w="108" w:type="dxa"/>
          <w:bottom w:w="0" w:type="dxa"/>
          <w:right w:w="108" w:type="dxa"/>
        </w:tblCellMar>
      </w:tblPrEx>
      <w:trPr>
        <w:jc w:val="center"/>
      </w:trPr>
      <w:tc>
        <w:tcPr>
          <w:tcW w:w="4824" w:type="dxa"/>
          <w:tcMar>
            <w:top w:w="40" w:type="dxa"/>
            <w:left w:w="0" w:type="dxa"/>
            <w:bottom w:w="0" w:type="dxa"/>
            <w:right w:w="0" w:type="dxa"/>
          </w:tcMar>
        </w:tcPr>
        <w:p w14:paraId="099B3224">
          <w:pPr>
            <w:jc w:val="left"/>
          </w:pPr>
          <w:r>
            <w:rPr>
              <w:rFonts w:ascii="Arial" w:hAnsi="Arial" w:eastAsia="Arial" w:cs="Arial"/>
              <w:b w:val="0"/>
              <w:color w:val="000000"/>
              <w:sz w:val="24"/>
              <w:szCs w:val="24"/>
            </w:rPr>
            <w:t>ciNPWT meta-analysis | data lock 10 Aug 2026</w:t>
          </w:r>
        </w:p>
      </w:tc>
      <w:tc>
        <w:tcPr>
          <w:tcW w:w="4824" w:type="dxa"/>
          <w:tcMar>
            <w:top w:w="40" w:type="dxa"/>
            <w:left w:w="0" w:type="dxa"/>
            <w:bottom w:w="0" w:type="dxa"/>
            <w:right w:w="0" w:type="dxa"/>
          </w:tcMar>
        </w:tcPr>
        <w:p w14:paraId="028BB9C5">
          <w:pPr>
            <w:jc w:val="right"/>
          </w:pPr>
          <w:r>
            <w:rPr>
              <w:rFonts w:ascii="Arial" w:hAnsi="Arial" w:eastAsia="Arial" w:cs="Arial"/>
              <w:b w:val="0"/>
              <w:color w:val="000000"/>
              <w:sz w:val="24"/>
              <w:szCs w:val="24"/>
            </w:rPr>
            <w:t xml:space="preserve">Page </w:t>
          </w:r>
          <w:r>
            <w:rPr>
              <w:rFonts w:ascii="Arial" w:hAnsi="Arial" w:eastAsia="Arial" w:cs="Arial"/>
              <w:b w:val="0"/>
              <w:color w:val="000000"/>
              <w:sz w:val="24"/>
              <w:szCs w:val="24"/>
            </w:rPr>
            <w:fldChar w:fldCharType="begin"/>
          </w:r>
          <w:r>
            <w:rPr>
              <w:rFonts w:ascii="Arial" w:hAnsi="Arial" w:eastAsia="Arial" w:cs="Arial"/>
              <w:b w:val="0"/>
              <w:color w:val="000000"/>
              <w:sz w:val="24"/>
              <w:szCs w:val="24"/>
            </w:rPr>
            <w:instrText xml:space="preserve">PAGE</w:instrText>
          </w:r>
          <w:r>
            <w:rPr>
              <w:rFonts w:ascii="Arial" w:hAnsi="Arial" w:eastAsia="Arial" w:cs="Arial"/>
              <w:b w:val="0"/>
              <w:color w:val="000000"/>
              <w:sz w:val="24"/>
              <w:szCs w:val="24"/>
            </w:rPr>
            <w:fldChar w:fldCharType="separate"/>
          </w:r>
          <w:r>
            <w:rPr>
              <w:rFonts w:ascii="Arial" w:hAnsi="Arial" w:eastAsia="Arial" w:cs="Arial"/>
              <w:b w:val="0"/>
              <w:color w:val="000000"/>
              <w:sz w:val="24"/>
              <w:szCs w:val="24"/>
            </w:rPr>
            <w:t>1</w:t>
          </w:r>
          <w:r>
            <w:rPr>
              <w:rFonts w:ascii="Arial" w:hAnsi="Arial" w:eastAsia="Arial" w:cs="Arial"/>
              <w:b w:val="0"/>
              <w:color w:val="000000"/>
              <w:sz w:val="24"/>
              <w:szCs w:val="24"/>
            </w:rPr>
            <w:fldChar w:fldCharType="end"/>
          </w:r>
          <w:r>
            <w:rPr>
              <w:rFonts w:ascii="Arial" w:hAnsi="Arial" w:eastAsia="Arial" w:cs="Arial"/>
              <w:b w:val="0"/>
              <w:color w:val="000000"/>
              <w:sz w:val="24"/>
              <w:szCs w:val="24"/>
            </w:rPr>
            <w:t xml:space="preserve"> of </w:t>
          </w:r>
          <w:r>
            <w:rPr>
              <w:rFonts w:ascii="Arial" w:hAnsi="Arial" w:eastAsia="Arial" w:cs="Arial"/>
              <w:b w:val="0"/>
              <w:color w:val="000000"/>
              <w:sz w:val="24"/>
              <w:szCs w:val="24"/>
            </w:rPr>
            <w:fldChar w:fldCharType="begin"/>
          </w:r>
          <w:r>
            <w:rPr>
              <w:rFonts w:ascii="Arial" w:hAnsi="Arial" w:eastAsia="Arial" w:cs="Arial"/>
              <w:b w:val="0"/>
              <w:color w:val="000000"/>
              <w:sz w:val="24"/>
              <w:szCs w:val="24"/>
            </w:rPr>
            <w:instrText xml:space="preserve">NUMPAGES</w:instrText>
          </w:r>
          <w:r>
            <w:rPr>
              <w:rFonts w:ascii="Arial" w:hAnsi="Arial" w:eastAsia="Arial" w:cs="Arial"/>
              <w:b w:val="0"/>
              <w:color w:val="000000"/>
              <w:sz w:val="24"/>
              <w:szCs w:val="24"/>
            </w:rPr>
            <w:fldChar w:fldCharType="separate"/>
          </w:r>
          <w:r>
            <w:rPr>
              <w:rFonts w:ascii="Arial" w:hAnsi="Arial" w:eastAsia="Arial" w:cs="Arial"/>
              <w:b w:val="0"/>
              <w:color w:val="000000"/>
              <w:sz w:val="24"/>
              <w:szCs w:val="24"/>
            </w:rPr>
            <w:t>1</w:t>
          </w:r>
          <w:r>
            <w:rPr>
              <w:rFonts w:ascii="Arial" w:hAnsi="Arial" w:eastAsia="Arial" w:cs="Arial"/>
              <w:b w:val="0"/>
              <w:color w:val="000000"/>
              <w:sz w:val="24"/>
              <w:szCs w:val="24"/>
            </w:rPr>
            <w:fldChar w:fldCharType="end"/>
          </w:r>
        </w:p>
      </w:tc>
    </w:tr>
  </w:tbl>
  <w:p w14:paraId="2A485BA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E500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CAC5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0" w:lineRule="auto"/>
      </w:pPr>
      <w:r>
        <w:separator/>
      </w:r>
    </w:p>
  </w:footnote>
  <w:footnote w:type="continuationSeparator" w:id="1">
    <w:p>
      <w:pPr>
        <w:spacing w:before="0" w:after="0"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C30FF">
    <w:pPr>
      <w:pStyle w:val="25"/>
      <w:spacing w:after="0"/>
      <w:jc w:val="left"/>
    </w:pPr>
    <w:r>
      <w:rPr>
        <w:rFonts w:ascii="Arial" w:hAnsi="Arial" w:eastAsia="Arial" w:cs="Arial"/>
        <w:b/>
        <w:i w:val="0"/>
        <w:color w:val="000000"/>
        <w:sz w:val="24"/>
        <w:szCs w:val="24"/>
      </w:rPr>
      <w:t>SUBMISSION REPORTING FILE  |  Declarations and availability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54CB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A775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Arial" w:hAnsi="Arial" w:eastAsia="Arial" w:cs="Arial"/>
        <w:color w:val="000000"/>
        <w:sz w:val="24"/>
        <w:szCs w:val="24"/>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Arial" w:hAnsi="Arial" w:eastAsia="Arial" w:cs="Arial"/>
        <w:color w:val="000000"/>
        <w:sz w:val="24"/>
        <w:szCs w:val="24"/>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Arial" w:hAnsi="Arial" w:eastAsia="Arial" w:cs="Arial"/>
        <w:color w:val="000000"/>
        <w:sz w:val="24"/>
        <w:szCs w:val="24"/>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2EA5445"/>
    <w:rsid w:val="2D761F17"/>
    <w:rsid w:val="3A2E24AB"/>
    <w:rsid w:val="4E73006A"/>
    <w:rsid w:val="74073E7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120" w:line="300" w:lineRule="auto"/>
    </w:pPr>
    <w:rPr>
      <w:rFonts w:ascii="Arial" w:hAnsi="Arial" w:eastAsia="Arial" w:cs="Arial"/>
      <w:color w:val="000000"/>
      <w:sz w:val="24"/>
      <w:szCs w:val="24"/>
      <w:lang w:val="en-US" w:eastAsia="en-US" w:bidi="ar-SA"/>
    </w:rPr>
  </w:style>
  <w:style w:type="paragraph" w:styleId="3">
    <w:name w:val="heading 1"/>
    <w:basedOn w:val="1"/>
    <w:next w:val="1"/>
    <w:link w:val="138"/>
    <w:qFormat/>
    <w:uiPriority w:val="9"/>
    <w:pPr>
      <w:keepNext/>
      <w:keepLines/>
      <w:spacing w:before="360" w:after="200"/>
      <w:outlineLvl w:val="0"/>
    </w:pPr>
    <w:rPr>
      <w:rFonts w:ascii="Arial" w:hAnsi="Arial" w:eastAsia="Arial" w:cs="Arial"/>
      <w:b/>
      <w:bCs/>
      <w:color w:val="000000"/>
      <w:sz w:val="24"/>
      <w:szCs w:val="24"/>
    </w:rPr>
  </w:style>
  <w:style w:type="paragraph" w:styleId="4">
    <w:name w:val="heading 2"/>
    <w:basedOn w:val="1"/>
    <w:next w:val="1"/>
    <w:link w:val="139"/>
    <w:unhideWhenUsed/>
    <w:qFormat/>
    <w:uiPriority w:val="9"/>
    <w:pPr>
      <w:keepNext/>
      <w:keepLines/>
      <w:spacing w:before="280" w:after="140"/>
      <w:outlineLvl w:val="1"/>
    </w:pPr>
    <w:rPr>
      <w:rFonts w:ascii="Arial" w:hAnsi="Arial" w:eastAsia="Arial" w:cs="Arial"/>
      <w:b/>
      <w:bCs/>
      <w:color w:val="000000"/>
      <w:sz w:val="24"/>
      <w:szCs w:val="24"/>
    </w:rPr>
  </w:style>
  <w:style w:type="paragraph" w:styleId="5">
    <w:name w:val="heading 3"/>
    <w:basedOn w:val="1"/>
    <w:next w:val="1"/>
    <w:link w:val="140"/>
    <w:unhideWhenUsed/>
    <w:qFormat/>
    <w:uiPriority w:val="9"/>
    <w:pPr>
      <w:keepNext/>
      <w:keepLines/>
      <w:spacing w:before="200" w:after="100"/>
      <w:outlineLvl w:val="2"/>
    </w:pPr>
    <w:rPr>
      <w:rFonts w:ascii="Arial" w:hAnsi="Arial" w:eastAsia="Arial" w:cs="Arial"/>
      <w:b/>
      <w:bCs/>
      <w:color w:val="000000"/>
      <w:sz w:val="24"/>
      <w:szCs w:val="24"/>
    </w:rPr>
  </w:style>
  <w:style w:type="paragraph" w:styleId="6">
    <w:name w:val="heading 4"/>
    <w:basedOn w:val="1"/>
    <w:next w:val="1"/>
    <w:link w:val="150"/>
    <w:semiHidden/>
    <w:unhideWhenUsed/>
    <w:qFormat/>
    <w:uiPriority w:val="9"/>
    <w:pPr>
      <w:keepNext/>
      <w:keepLines/>
      <w:spacing w:before="200" w:after="0"/>
      <w:outlineLvl w:val="3"/>
    </w:pPr>
    <w:rPr>
      <w:rFonts w:ascii="Arial" w:hAnsi="Arial" w:eastAsia="Arial" w:cs="Arial"/>
      <w:b/>
      <w:bCs/>
      <w:i/>
      <w:iCs/>
      <w:color w:val="000000"/>
      <w:sz w:val="24"/>
      <w:szCs w:val="24"/>
    </w:rPr>
  </w:style>
  <w:style w:type="paragraph" w:styleId="7">
    <w:name w:val="heading 5"/>
    <w:basedOn w:val="1"/>
    <w:next w:val="1"/>
    <w:link w:val="151"/>
    <w:semiHidden/>
    <w:unhideWhenUsed/>
    <w:qFormat/>
    <w:uiPriority w:val="9"/>
    <w:pPr>
      <w:keepNext/>
      <w:keepLines/>
      <w:spacing w:before="200" w:after="0"/>
      <w:outlineLvl w:val="4"/>
    </w:pPr>
    <w:rPr>
      <w:rFonts w:ascii="Arial" w:hAnsi="Arial" w:eastAsia="Arial" w:cs="Arial"/>
      <w:color w:val="000000"/>
      <w:sz w:val="24"/>
      <w:szCs w:val="24"/>
    </w:rPr>
  </w:style>
  <w:style w:type="paragraph" w:styleId="8">
    <w:name w:val="heading 6"/>
    <w:basedOn w:val="1"/>
    <w:next w:val="1"/>
    <w:link w:val="152"/>
    <w:semiHidden/>
    <w:unhideWhenUsed/>
    <w:qFormat/>
    <w:uiPriority w:val="9"/>
    <w:pPr>
      <w:keepNext/>
      <w:keepLines/>
      <w:spacing w:before="200" w:after="0"/>
      <w:outlineLvl w:val="5"/>
    </w:pPr>
    <w:rPr>
      <w:rFonts w:ascii="Arial" w:hAnsi="Arial" w:eastAsia="Arial" w:cs="Arial"/>
      <w:i/>
      <w:iCs/>
      <w:color w:val="000000"/>
      <w:sz w:val="24"/>
      <w:szCs w:val="24"/>
    </w:rPr>
  </w:style>
  <w:style w:type="paragraph" w:styleId="9">
    <w:name w:val="heading 7"/>
    <w:basedOn w:val="1"/>
    <w:next w:val="1"/>
    <w:link w:val="153"/>
    <w:semiHidden/>
    <w:unhideWhenUsed/>
    <w:qFormat/>
    <w:uiPriority w:val="9"/>
    <w:pPr>
      <w:keepNext/>
      <w:keepLines/>
      <w:spacing w:before="200" w:after="0"/>
      <w:outlineLvl w:val="6"/>
    </w:pPr>
    <w:rPr>
      <w:rFonts w:ascii="Arial" w:hAnsi="Arial" w:eastAsia="Arial" w:cs="Arial"/>
      <w:i/>
      <w:iCs/>
      <w:color w:val="000000"/>
      <w:sz w:val="24"/>
      <w:szCs w:val="24"/>
    </w:rPr>
  </w:style>
  <w:style w:type="paragraph" w:styleId="10">
    <w:name w:val="heading 8"/>
    <w:basedOn w:val="1"/>
    <w:next w:val="1"/>
    <w:link w:val="154"/>
    <w:semiHidden/>
    <w:unhideWhenUsed/>
    <w:qFormat/>
    <w:uiPriority w:val="9"/>
    <w:pPr>
      <w:keepNext/>
      <w:keepLines/>
      <w:spacing w:before="200" w:after="0"/>
      <w:outlineLvl w:val="7"/>
    </w:pPr>
    <w:rPr>
      <w:rFonts w:ascii="Arial" w:hAnsi="Arial" w:eastAsia="Arial" w:cs="Arial"/>
      <w:color w:val="000000"/>
      <w:sz w:val="24"/>
      <w:szCs w:val="24"/>
    </w:rPr>
  </w:style>
  <w:style w:type="paragraph" w:styleId="11">
    <w:name w:val="heading 9"/>
    <w:basedOn w:val="1"/>
    <w:next w:val="1"/>
    <w:link w:val="155"/>
    <w:semiHidden/>
    <w:unhideWhenUsed/>
    <w:qFormat/>
    <w:uiPriority w:val="9"/>
    <w:pPr>
      <w:keepNext/>
      <w:keepLines/>
      <w:spacing w:before="200" w:after="0"/>
      <w:outlineLvl w:val="8"/>
    </w:pPr>
    <w:rPr>
      <w:rFonts w:ascii="Arial" w:hAnsi="Arial" w:eastAsia="Arial" w:cs="Arial"/>
      <w:i/>
      <w:iCs/>
      <w:color w:val="000000"/>
      <w:sz w:val="24"/>
      <w:szCs w:val="24"/>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Arial" w:hAnsi="Arial" w:eastAsia="Arial" w:cs="Arial"/>
      <w:color w:val="000000"/>
      <w:sz w:val="24"/>
      <w:szCs w:val="24"/>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rFonts w:ascii="Arial" w:hAnsi="Arial" w:eastAsia="Arial" w:cs="Arial"/>
      <w:b/>
      <w:bCs/>
      <w:color w:val="000000"/>
      <w:sz w:val="24"/>
      <w:szCs w:val="24"/>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rFonts w:ascii="Arial" w:hAnsi="Arial" w:eastAsia="Arial" w:cs="Arial"/>
      <w:color w:val="000000"/>
      <w:sz w:val="24"/>
      <w:szCs w:val="24"/>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Arial" w:hAnsi="Arial" w:eastAsia="Arial" w:cs="Arial"/>
      <w:i/>
      <w:iCs/>
      <w:color w:val="000000"/>
      <w:spacing w:val="15"/>
      <w:sz w:val="24"/>
      <w:szCs w:val="24"/>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Arial" w:hAnsi="Arial" w:eastAsia="Arial" w:cs="Arial"/>
      <w:color w:val="000000"/>
      <w:spacing w:val="5"/>
      <w:kern w:val="28"/>
      <w:sz w:val="24"/>
      <w:szCs w:val="24"/>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rFonts w:ascii="Arial" w:hAnsi="Arial" w:eastAsia="Arial" w:cs="Arial"/>
      <w:color w:val="000000"/>
      <w:sz w:val="24"/>
      <w:szCs w:val="24"/>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rFonts w:ascii="Arial" w:hAnsi="Arial" w:eastAsia="Arial" w:cs="Arial"/>
      <w:color w:val="000000"/>
      <w:sz w:val="24"/>
      <w:szCs w:val="24"/>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rFonts w:ascii="Arial" w:hAnsi="Arial" w:eastAsia="Arial" w:cs="Arial"/>
      <w:color w:val="000000"/>
      <w:sz w:val="24"/>
      <w:szCs w:val="24"/>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rFonts w:ascii="Arial" w:hAnsi="Arial" w:eastAsia="Arial" w:cs="Arial"/>
      <w:color w:val="000000"/>
      <w:sz w:val="24"/>
      <w:szCs w:val="24"/>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rFonts w:ascii="Arial" w:hAnsi="Arial" w:eastAsia="Arial" w:cs="Arial"/>
      <w:color w:val="000000"/>
      <w:sz w:val="24"/>
      <w:szCs w:val="24"/>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rFonts w:ascii="Arial" w:hAnsi="Arial" w:eastAsia="Arial" w:cs="Arial"/>
      <w:color w:val="000000"/>
      <w:sz w:val="24"/>
      <w:szCs w:val="24"/>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rFonts w:ascii="Arial" w:hAnsi="Arial" w:eastAsia="Arial" w:cs="Arial"/>
      <w:color w:val="000000"/>
      <w:sz w:val="24"/>
      <w:szCs w:val="24"/>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rFonts w:ascii="Arial" w:hAnsi="Arial" w:eastAsia="Arial" w:cs="Arial"/>
      <w:color w:val="000000"/>
      <w:sz w:val="24"/>
      <w:szCs w:val="24"/>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rFonts w:ascii="Arial" w:hAnsi="Arial" w:eastAsia="Arial" w:cs="Arial"/>
      <w:color w:val="000000"/>
      <w:sz w:val="24"/>
      <w:szCs w:val="24"/>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rFonts w:ascii="Arial" w:hAnsi="Arial" w:eastAsia="Arial" w:cs="Arial"/>
      <w:color w:val="000000"/>
      <w:sz w:val="24"/>
      <w:szCs w:val="24"/>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rFonts w:ascii="Arial" w:hAnsi="Arial" w:eastAsia="Arial" w:cs="Arial"/>
      <w:color w:val="000000"/>
      <w:sz w:val="24"/>
      <w:szCs w:val="24"/>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rFonts w:ascii="Arial" w:hAnsi="Arial" w:eastAsia="Arial" w:cs="Arial"/>
      <w:color w:val="000000"/>
      <w:sz w:val="24"/>
      <w:szCs w:val="24"/>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rFonts w:ascii="Arial" w:hAnsi="Arial" w:eastAsia="Arial" w:cs="Arial"/>
      <w:color w:val="000000"/>
      <w:sz w:val="24"/>
      <w:szCs w:val="24"/>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rFonts w:ascii="Arial" w:hAnsi="Arial" w:eastAsia="Arial" w:cs="Arial"/>
      <w:color w:val="000000"/>
      <w:sz w:val="24"/>
      <w:szCs w:val="24"/>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Arial" w:hAnsi="Arial" w:eastAsia="Arial" w:cs="Arial"/>
      <w:color w:val="000000"/>
      <w:sz w:val="24"/>
      <w:szCs w:val="24"/>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Arial" w:hAnsi="Arial" w:eastAsia="Arial" w:cs="Arial"/>
      <w:color w:val="000000"/>
      <w:sz w:val="24"/>
      <w:szCs w:val="24"/>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Arial" w:hAnsi="Arial" w:eastAsia="Arial" w:cs="Arial"/>
      <w:color w:val="000000"/>
      <w:sz w:val="24"/>
      <w:szCs w:val="24"/>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Arial" w:hAnsi="Arial" w:eastAsia="Arial" w:cs="Arial"/>
      <w:color w:val="000000"/>
      <w:sz w:val="24"/>
      <w:szCs w:val="24"/>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Arial" w:hAnsi="Arial" w:eastAsia="Arial" w:cs="Arial"/>
      <w:color w:val="000000"/>
      <w:sz w:val="24"/>
      <w:szCs w:val="24"/>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Arial" w:hAnsi="Arial" w:eastAsia="Arial" w:cs="Arial"/>
      <w:color w:val="000000"/>
      <w:sz w:val="24"/>
      <w:szCs w:val="24"/>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Arial" w:hAnsi="Arial" w:eastAsia="Arial" w:cs="Arial"/>
      <w:color w:val="000000"/>
      <w:sz w:val="24"/>
      <w:szCs w:val="24"/>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Arial" w:hAnsi="Arial" w:eastAsia="Arial" w:cs="Arial"/>
      <w:color w:val="000000"/>
      <w:sz w:val="24"/>
      <w:szCs w:val="24"/>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Arial" w:hAnsi="Arial" w:eastAsia="Arial" w:cs="Arial"/>
      <w:color w:val="000000"/>
      <w:sz w:val="24"/>
      <w:szCs w:val="24"/>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Arial" w:hAnsi="Arial" w:eastAsia="Arial" w:cs="Arial"/>
      <w:color w:val="000000"/>
      <w:sz w:val="24"/>
      <w:szCs w:val="24"/>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Arial" w:hAnsi="Arial" w:eastAsia="Arial" w:cs="Arial"/>
      <w:color w:val="000000"/>
      <w:sz w:val="24"/>
      <w:szCs w:val="24"/>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Arial" w:hAnsi="Arial" w:eastAsia="Arial" w:cs="Arial"/>
      <w:color w:val="000000"/>
      <w:sz w:val="24"/>
      <w:szCs w:val="24"/>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Arial" w:hAnsi="Arial" w:eastAsia="Arial" w:cs="Arial"/>
      <w:color w:val="000000"/>
      <w:sz w:val="24"/>
      <w:szCs w:val="24"/>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Arial" w:hAnsi="Arial" w:eastAsia="Arial" w:cs="Arial"/>
      <w:color w:val="000000"/>
      <w:sz w:val="24"/>
      <w:szCs w:val="24"/>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rFonts w:ascii="Arial" w:hAnsi="Arial" w:eastAsia="Arial" w:cs="Arial"/>
      <w:color w:val="000000"/>
      <w:sz w:val="24"/>
      <w:szCs w:val="24"/>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rFonts w:ascii="Arial" w:hAnsi="Arial" w:eastAsia="Arial" w:cs="Arial"/>
      <w:color w:val="000000"/>
      <w:sz w:val="24"/>
      <w:szCs w:val="24"/>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rFonts w:ascii="Arial" w:hAnsi="Arial" w:eastAsia="Arial" w:cs="Arial"/>
      <w:color w:val="000000"/>
      <w:sz w:val="24"/>
      <w:szCs w:val="24"/>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rFonts w:ascii="Arial" w:hAnsi="Arial" w:eastAsia="Arial" w:cs="Arial"/>
      <w:color w:val="000000"/>
      <w:sz w:val="24"/>
      <w:szCs w:val="24"/>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rFonts w:ascii="Arial" w:hAnsi="Arial" w:eastAsia="Arial" w:cs="Arial"/>
      <w:color w:val="000000"/>
      <w:sz w:val="24"/>
      <w:szCs w:val="24"/>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rFonts w:ascii="Arial" w:hAnsi="Arial" w:eastAsia="Arial" w:cs="Arial"/>
      <w:color w:val="000000"/>
      <w:sz w:val="24"/>
      <w:szCs w:val="24"/>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rFonts w:ascii="Arial" w:hAnsi="Arial" w:eastAsia="Arial" w:cs="Arial"/>
      <w:color w:val="000000"/>
      <w:sz w:val="24"/>
      <w:szCs w:val="24"/>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rFonts w:ascii="Arial" w:hAnsi="Arial" w:eastAsia="Arial" w:cs="Arial"/>
      <w:b/>
      <w:bCs/>
      <w:color w:val="000000"/>
      <w:sz w:val="24"/>
      <w:szCs w:val="24"/>
    </w:rPr>
  </w:style>
  <w:style w:type="character" w:styleId="134">
    <w:name w:val="Emphasis"/>
    <w:basedOn w:val="132"/>
    <w:qFormat/>
    <w:uiPriority w:val="20"/>
    <w:rPr>
      <w:rFonts w:ascii="Arial" w:hAnsi="Arial" w:eastAsia="Arial" w:cs="Arial"/>
      <w:i/>
      <w:iCs/>
      <w:color w:val="000000"/>
      <w:sz w:val="24"/>
      <w:szCs w:val="24"/>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Arial" w:hAnsi="Arial" w:eastAsia="Arial" w:cs="Arial"/>
      <w:color w:val="000000"/>
      <w:sz w:val="24"/>
      <w:szCs w:val="24"/>
      <w:lang w:val="en-US" w:eastAsia="en-US" w:bidi="ar-SA"/>
    </w:rPr>
  </w:style>
  <w:style w:type="character" w:customStyle="1" w:styleId="138">
    <w:name w:val="Heading 1 Char"/>
    <w:basedOn w:val="132"/>
    <w:link w:val="3"/>
    <w:qFormat/>
    <w:uiPriority w:val="9"/>
    <w:rPr>
      <w:rFonts w:ascii="Arial" w:hAnsi="Arial" w:eastAsia="Arial" w:cs="Arial"/>
      <w:b/>
      <w:bCs/>
      <w:color w:val="000000"/>
      <w:sz w:val="24"/>
      <w:szCs w:val="24"/>
    </w:rPr>
  </w:style>
  <w:style w:type="character" w:customStyle="1" w:styleId="139">
    <w:name w:val="Heading 2 Char"/>
    <w:basedOn w:val="132"/>
    <w:link w:val="4"/>
    <w:uiPriority w:val="9"/>
    <w:rPr>
      <w:rFonts w:ascii="Arial" w:hAnsi="Arial" w:eastAsia="Arial" w:cs="Arial"/>
      <w:b/>
      <w:bCs/>
      <w:color w:val="000000"/>
      <w:sz w:val="24"/>
      <w:szCs w:val="24"/>
    </w:rPr>
  </w:style>
  <w:style w:type="character" w:customStyle="1" w:styleId="140">
    <w:name w:val="Heading 3 Char"/>
    <w:basedOn w:val="132"/>
    <w:link w:val="5"/>
    <w:uiPriority w:val="9"/>
    <w:rPr>
      <w:rFonts w:ascii="Arial" w:hAnsi="Arial" w:eastAsia="Arial" w:cs="Arial"/>
      <w:b/>
      <w:bCs/>
      <w:color w:val="000000"/>
      <w:sz w:val="24"/>
      <w:szCs w:val="24"/>
    </w:rPr>
  </w:style>
  <w:style w:type="character" w:customStyle="1" w:styleId="141">
    <w:name w:val="Title Char"/>
    <w:basedOn w:val="132"/>
    <w:link w:val="31"/>
    <w:uiPriority w:val="10"/>
    <w:rPr>
      <w:rFonts w:ascii="Arial" w:hAnsi="Arial" w:eastAsia="Arial" w:cs="Arial"/>
      <w:color w:val="000000"/>
      <w:spacing w:val="5"/>
      <w:kern w:val="28"/>
      <w:sz w:val="24"/>
      <w:szCs w:val="24"/>
    </w:rPr>
  </w:style>
  <w:style w:type="character" w:customStyle="1" w:styleId="142">
    <w:name w:val="Subtitle Char"/>
    <w:basedOn w:val="132"/>
    <w:link w:val="26"/>
    <w:uiPriority w:val="11"/>
    <w:rPr>
      <w:rFonts w:ascii="Arial" w:hAnsi="Arial" w:eastAsia="Arial" w:cs="Arial"/>
      <w:i/>
      <w:iCs/>
      <w:color w:val="000000"/>
      <w:spacing w:val="15"/>
      <w:sz w:val="24"/>
      <w:szCs w:val="24"/>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rFonts w:ascii="Arial" w:hAnsi="Arial" w:eastAsia="Arial" w:cs="Arial"/>
      <w:color w:val="000000"/>
      <w:sz w:val="24"/>
      <w:szCs w:val="24"/>
    </w:rPr>
  </w:style>
  <w:style w:type="character" w:customStyle="1" w:styleId="147">
    <w:name w:val="Macro Text Char"/>
    <w:basedOn w:val="132"/>
    <w:link w:val="2"/>
    <w:uiPriority w:val="99"/>
    <w:rPr>
      <w:rFonts w:ascii="Arial" w:hAnsi="Arial" w:eastAsia="Arial" w:cs="Arial"/>
      <w:color w:val="000000"/>
      <w:sz w:val="24"/>
      <w:szCs w:val="24"/>
    </w:rPr>
  </w:style>
  <w:style w:type="paragraph" w:styleId="148">
    <w:name w:val="Quote"/>
    <w:basedOn w:val="1"/>
    <w:next w:val="1"/>
    <w:link w:val="149"/>
    <w:qFormat/>
    <w:uiPriority w:val="29"/>
    <w:rPr>
      <w:rFonts w:ascii="Arial" w:hAnsi="Arial" w:eastAsia="Arial" w:cs="Arial"/>
      <w:i/>
      <w:iCs/>
      <w:color w:val="000000"/>
      <w:sz w:val="24"/>
      <w:szCs w:val="24"/>
    </w:rPr>
  </w:style>
  <w:style w:type="character" w:customStyle="1" w:styleId="149">
    <w:name w:val="Quote Char"/>
    <w:basedOn w:val="132"/>
    <w:link w:val="148"/>
    <w:qFormat/>
    <w:uiPriority w:val="29"/>
    <w:rPr>
      <w:rFonts w:ascii="Arial" w:hAnsi="Arial" w:eastAsia="Arial" w:cs="Arial"/>
      <w:i/>
      <w:iCs/>
      <w:color w:val="000000"/>
      <w:sz w:val="24"/>
      <w:szCs w:val="24"/>
    </w:rPr>
  </w:style>
  <w:style w:type="character" w:customStyle="1" w:styleId="150">
    <w:name w:val="Heading 4 Char"/>
    <w:basedOn w:val="132"/>
    <w:link w:val="6"/>
    <w:semiHidden/>
    <w:qFormat/>
    <w:uiPriority w:val="9"/>
    <w:rPr>
      <w:rFonts w:ascii="Arial" w:hAnsi="Arial" w:eastAsia="Arial" w:cs="Arial"/>
      <w:b/>
      <w:bCs/>
      <w:i/>
      <w:iCs/>
      <w:color w:val="000000"/>
      <w:sz w:val="24"/>
      <w:szCs w:val="24"/>
    </w:rPr>
  </w:style>
  <w:style w:type="character" w:customStyle="1" w:styleId="151">
    <w:name w:val="Heading 5 Char"/>
    <w:basedOn w:val="132"/>
    <w:link w:val="7"/>
    <w:semiHidden/>
    <w:uiPriority w:val="9"/>
    <w:rPr>
      <w:rFonts w:ascii="Arial" w:hAnsi="Arial" w:eastAsia="Arial" w:cs="Arial"/>
      <w:color w:val="000000"/>
      <w:sz w:val="24"/>
      <w:szCs w:val="24"/>
    </w:rPr>
  </w:style>
  <w:style w:type="character" w:customStyle="1" w:styleId="152">
    <w:name w:val="Heading 6 Char"/>
    <w:basedOn w:val="132"/>
    <w:link w:val="8"/>
    <w:semiHidden/>
    <w:uiPriority w:val="9"/>
    <w:rPr>
      <w:rFonts w:ascii="Arial" w:hAnsi="Arial" w:eastAsia="Arial" w:cs="Arial"/>
      <w:i/>
      <w:iCs/>
      <w:color w:val="000000"/>
      <w:sz w:val="24"/>
      <w:szCs w:val="24"/>
    </w:rPr>
  </w:style>
  <w:style w:type="character" w:customStyle="1" w:styleId="153">
    <w:name w:val="Heading 7 Char"/>
    <w:basedOn w:val="132"/>
    <w:link w:val="9"/>
    <w:semiHidden/>
    <w:uiPriority w:val="9"/>
    <w:rPr>
      <w:rFonts w:ascii="Arial" w:hAnsi="Arial" w:eastAsia="Arial" w:cs="Arial"/>
      <w:i/>
      <w:iCs/>
      <w:color w:val="000000"/>
      <w:sz w:val="24"/>
      <w:szCs w:val="24"/>
    </w:rPr>
  </w:style>
  <w:style w:type="character" w:customStyle="1" w:styleId="154">
    <w:name w:val="Heading 8 Char"/>
    <w:basedOn w:val="132"/>
    <w:link w:val="10"/>
    <w:semiHidden/>
    <w:qFormat/>
    <w:uiPriority w:val="9"/>
    <w:rPr>
      <w:rFonts w:ascii="Arial" w:hAnsi="Arial" w:eastAsia="Arial" w:cs="Arial"/>
      <w:color w:val="000000"/>
      <w:sz w:val="24"/>
      <w:szCs w:val="24"/>
    </w:rPr>
  </w:style>
  <w:style w:type="character" w:customStyle="1" w:styleId="155">
    <w:name w:val="Heading 9 Char"/>
    <w:basedOn w:val="132"/>
    <w:link w:val="11"/>
    <w:semiHidden/>
    <w:qFormat/>
    <w:uiPriority w:val="9"/>
    <w:rPr>
      <w:rFonts w:ascii="Arial" w:hAnsi="Arial" w:eastAsia="Arial" w:cs="Arial"/>
      <w:i/>
      <w:iCs/>
      <w:color w:val="000000"/>
      <w:sz w:val="24"/>
      <w:szCs w:val="24"/>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rFonts w:ascii="Arial" w:hAnsi="Arial" w:eastAsia="Arial" w:cs="Arial"/>
      <w:b/>
      <w:bCs/>
      <w:i/>
      <w:iCs/>
      <w:color w:val="000000"/>
      <w:sz w:val="24"/>
      <w:szCs w:val="24"/>
    </w:rPr>
  </w:style>
  <w:style w:type="character" w:customStyle="1" w:styleId="157">
    <w:name w:val="Intense Quote Char"/>
    <w:basedOn w:val="132"/>
    <w:link w:val="156"/>
    <w:qFormat/>
    <w:uiPriority w:val="30"/>
    <w:rPr>
      <w:rFonts w:ascii="Arial" w:hAnsi="Arial" w:eastAsia="Arial" w:cs="Arial"/>
      <w:b/>
      <w:bCs/>
      <w:i/>
      <w:iCs/>
      <w:color w:val="000000"/>
      <w:sz w:val="24"/>
      <w:szCs w:val="24"/>
    </w:rPr>
  </w:style>
  <w:style w:type="character" w:customStyle="1" w:styleId="158">
    <w:name w:val="Subtle Emphasis"/>
    <w:basedOn w:val="132"/>
    <w:qFormat/>
    <w:uiPriority w:val="19"/>
    <w:rPr>
      <w:rFonts w:ascii="Arial" w:hAnsi="Arial" w:eastAsia="Arial" w:cs="Arial"/>
      <w:i/>
      <w:iCs/>
      <w:color w:val="000000"/>
      <w:sz w:val="24"/>
      <w:szCs w:val="24"/>
    </w:rPr>
  </w:style>
  <w:style w:type="character" w:customStyle="1" w:styleId="159">
    <w:name w:val="Intense Emphasis"/>
    <w:basedOn w:val="132"/>
    <w:qFormat/>
    <w:uiPriority w:val="21"/>
    <w:rPr>
      <w:rFonts w:ascii="Arial" w:hAnsi="Arial" w:eastAsia="Arial" w:cs="Arial"/>
      <w:b/>
      <w:bCs/>
      <w:i/>
      <w:iCs/>
      <w:color w:val="000000"/>
      <w:sz w:val="24"/>
      <w:szCs w:val="24"/>
    </w:rPr>
  </w:style>
  <w:style w:type="character" w:customStyle="1" w:styleId="160">
    <w:name w:val="Subtle Reference"/>
    <w:basedOn w:val="132"/>
    <w:qFormat/>
    <w:uiPriority w:val="31"/>
    <w:rPr>
      <w:rFonts w:ascii="Arial" w:hAnsi="Arial" w:eastAsia="Arial" w:cs="Arial"/>
      <w:smallCaps/>
      <w:color w:val="000000"/>
      <w:sz w:val="24"/>
      <w:szCs w:val="24"/>
      <w:u w:val="single"/>
    </w:rPr>
  </w:style>
  <w:style w:type="character" w:customStyle="1" w:styleId="161">
    <w:name w:val="Intense Reference"/>
    <w:basedOn w:val="132"/>
    <w:qFormat/>
    <w:uiPriority w:val="32"/>
    <w:rPr>
      <w:rFonts w:ascii="Arial" w:hAnsi="Arial" w:eastAsia="Arial" w:cs="Arial"/>
      <w:b/>
      <w:bCs/>
      <w:smallCaps/>
      <w:color w:val="000000"/>
      <w:spacing w:val="5"/>
      <w:sz w:val="24"/>
      <w:szCs w:val="24"/>
      <w:u w:val="single"/>
    </w:rPr>
  </w:style>
  <w:style w:type="character" w:customStyle="1" w:styleId="162">
    <w:name w:val="Book Title"/>
    <w:basedOn w:val="132"/>
    <w:qFormat/>
    <w:uiPriority w:val="33"/>
    <w:rPr>
      <w:rFonts w:ascii="Arial" w:hAnsi="Arial" w:eastAsia="Arial" w:cs="Arial"/>
      <w:b/>
      <w:bCs/>
      <w:smallCaps/>
      <w:color w:val="000000"/>
      <w:spacing w:val="5"/>
      <w:sz w:val="24"/>
      <w:szCs w:val="24"/>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458</Words>
  <Characters>2987</Characters>
  <Lines>0</Lines>
  <Paragraphs>0</Paragraphs>
  <TotalTime>0</TotalTime>
  <ScaleCrop>false</ScaleCrop>
  <LinksUpToDate>false</LinksUpToDate>
  <CharactersWithSpaces>3416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WPS_1695207348</cp:lastModifiedBy>
  <dcterms:created xsi:type="dcterms:W3CDTF">2013-12-23T23:15:00Z</dcterms:created>
  <dcterms:modified xsi:type="dcterms:W3CDTF">2026-09-07T17:13:35Z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eyJoZGlkIjoiMWMzOTVlMGM3YmYzMzQzZTFjMDE5ZDM4YTgyOGI4YmMiLCJ1c2VySWQiOiIxNTMzNjY5Mzk2In0=</vt:lpwstr>
  </property>
  <property fmtid="{D5CDD505-2E9C-101B-9397-08002B2CF9AE}" pid="3" name="KSOProductBuildVer">
    <vt:lpwstr>2052-12.1.0.28505</vt:lpwstr>
  </property>
  <property fmtid="{D5CDD505-2E9C-101B-9397-08002B2CF9AE}" pid="4" name="ICV">
    <vt:lpwstr>3BD9870D56C642E79C338D14BC90FE6E_12</vt:lpwstr>
  </property>
</Properties>
</file>