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80C75">
      <w:pPr>
        <w:spacing w:after="60"/>
      </w:pPr>
      <w:r>
        <w:rPr>
          <w:rFonts w:ascii="Arial" w:hAnsi="Arial" w:eastAsia="Arial" w:cs="Arial"/>
          <w:b/>
          <w:color w:val="000000"/>
          <w:sz w:val="24"/>
          <w:szCs w:val="24"/>
        </w:rPr>
        <w:t>SUPPLEMENTARY APPENDIX S9</w:t>
      </w:r>
    </w:p>
    <w:p w14:paraId="40EE77B6">
      <w:pPr>
        <w:spacing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Risk-of-bias domains and decision rules</w:t>
      </w:r>
    </w:p>
    <w:p w14:paraId="2C81D003">
      <w:pPr>
        <w:spacing w:after="200"/>
      </w:pPr>
      <w:r>
        <w:rPr>
          <w:rFonts w:ascii="Arial" w:hAnsi="Arial" w:eastAsia="Arial" w:cs="Arial"/>
          <w:color w:val="000000"/>
          <w:sz w:val="24"/>
          <w:szCs w:val="24"/>
        </w:rPr>
        <w:t>ciNPWT versus conventional dressing after lower-extremity fracture surgery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3330"/>
        <w:gridCol w:w="1450"/>
        <w:gridCol w:w="3130"/>
      </w:tblGrid>
      <w:tr w14:paraId="056B9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2C270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Assessment tools</w:t>
            </w:r>
          </w:p>
        </w:tc>
        <w:tc>
          <w:tcPr>
            <w:tcW w:w="33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CC23A">
            <w:pPr>
              <w:spacing w:after="0"/>
            </w:pPr>
            <w:r>
              <w:rPr>
                <w:rFonts w:ascii="Arial" w:hAnsi="Arial" w:eastAsia="Arial" w:cs="Arial"/>
                <w:b w:val="0"/>
                <w:color w:val="000000"/>
                <w:sz w:val="24"/>
                <w:szCs w:val="24"/>
              </w:rPr>
              <w:t>RoB 2 (2019); ROBINS-I (2016)</w:t>
            </w:r>
          </w:p>
        </w:tc>
        <w:tc>
          <w:tcPr>
            <w:tcW w:w="14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A2D15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Consensus date</w:t>
            </w:r>
          </w:p>
        </w:tc>
        <w:tc>
          <w:tcPr>
            <w:tcW w:w="31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FD5A">
            <w:pPr>
              <w:spacing w:after="0"/>
            </w:pPr>
            <w:r>
              <w:rPr>
                <w:rFonts w:ascii="Arial" w:hAnsi="Arial" w:eastAsia="Arial" w:cs="Arial"/>
                <w:b w:val="0"/>
                <w:color w:val="000000"/>
                <w:sz w:val="24"/>
                <w:szCs w:val="24"/>
              </w:rPr>
              <w:t>13 August 2026</w:t>
            </w:r>
          </w:p>
        </w:tc>
      </w:tr>
      <w:tr w14:paraId="3BF4B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037FB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Statistical lock</w:t>
            </w:r>
          </w:p>
        </w:tc>
        <w:tc>
          <w:tcPr>
            <w:tcW w:w="33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11BE6">
            <w:pPr>
              <w:spacing w:after="0"/>
            </w:pPr>
            <w:r>
              <w:rPr>
                <w:rFonts w:ascii="Arial" w:hAnsi="Arial" w:eastAsia="Arial" w:cs="Arial"/>
                <w:b w:val="0"/>
                <w:color w:val="000000"/>
                <w:sz w:val="24"/>
                <w:szCs w:val="24"/>
              </w:rPr>
              <w:t>10 August 2026</w:t>
            </w:r>
          </w:p>
        </w:tc>
        <w:tc>
          <w:tcPr>
            <w:tcW w:w="14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D5523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Assessment level</w:t>
            </w:r>
          </w:p>
        </w:tc>
        <w:tc>
          <w:tcPr>
            <w:tcW w:w="31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FC6B3">
            <w:pPr>
              <w:spacing w:after="0"/>
            </w:pPr>
            <w:r>
              <w:rPr>
                <w:rFonts w:ascii="Arial" w:hAnsi="Arial" w:eastAsia="Arial" w:cs="Arial"/>
                <w:b w:val="0"/>
                <w:color w:val="000000"/>
                <w:sz w:val="24"/>
                <w:szCs w:val="24"/>
              </w:rPr>
              <w:t>Result specific</w:t>
            </w:r>
          </w:p>
        </w:tc>
      </w:tr>
    </w:tbl>
    <w:p w14:paraId="1EADBB38">
      <w:pPr>
        <w:spacing w:after="0"/>
      </w:pPr>
    </w:p>
    <w:tbl>
      <w:tblPr>
        <w:tblStyle w:val="32"/>
        <w:tblW w:w="9360" w:type="dxa"/>
        <w:tblInd w:w="12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434D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0ADBB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Scope.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This appendix documents the prespecified domains, study-specific application rules, and consensus algorithms used for the final risk-of-bias judgements. It does not replace the official tool guidance or the completed consensus workbook.</w:t>
            </w:r>
          </w:p>
        </w:tc>
      </w:tr>
    </w:tbl>
    <w:p w14:paraId="551E6974">
      <w:pPr>
        <w:spacing w:after="0"/>
      </w:pPr>
    </w:p>
    <w:p w14:paraId="2A25D198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1. Unit of assessment and review process</w:t>
      </w:r>
    </w:p>
    <w:p w14:paraId="570E3685">
      <w:r>
        <w:rPr>
          <w:rFonts w:ascii="Arial" w:hAnsi="Arial" w:eastAsia="Arial" w:cs="Arial"/>
          <w:color w:val="000000"/>
          <w:sz w:val="24"/>
          <w:szCs w:val="24"/>
        </w:rPr>
        <w:t>Risk of bias was assessed for a specific result, not as a single immutable label for an entire article. Separate assessments were therefore retained when the same trial contributed different outcomes or time points, most importantly the WHIST deep-SSI results at 30 and 90 days.</w:t>
      </w:r>
    </w:p>
    <w:p w14:paraId="3C3FAFBB">
      <w:r>
        <w:rPr>
          <w:rFonts w:ascii="Arial" w:hAnsi="Arial" w:eastAsia="Arial" w:cs="Arial"/>
          <w:color w:val="000000"/>
          <w:sz w:val="24"/>
          <w:szCs w:val="24"/>
        </w:rPr>
        <w:t>Two reviewers completed assessments independently. Disagreements were resolved by checking the full report and, when available, the trial registry, protocol, and statistical analysis plan. The adjudicated domain judgement and a concise rationale were recorded in the final consensus workbook. No numerical score was calculated, and domain judgements were not averaged.</w:t>
      </w:r>
    </w:p>
    <w:p w14:paraId="18366623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2. RoB 2 for randomised controlled trials</w:t>
      </w:r>
    </w:p>
    <w:p w14:paraId="30787FE9">
      <w:r>
        <w:rPr>
          <w:rFonts w:ascii="Arial" w:hAnsi="Arial" w:eastAsia="Arial" w:cs="Arial"/>
          <w:color w:val="000000"/>
          <w:sz w:val="24"/>
          <w:szCs w:val="24"/>
        </w:rPr>
        <w:t>RoB 2 was applied to the effect of assignment to intervention for parallel-group randomised trials. Signalling questions informed, but did not mechanically replace, reviewer judgement.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900"/>
        <w:gridCol w:w="5610"/>
      </w:tblGrid>
      <w:tr w14:paraId="3719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8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128AD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Domain</w:t>
            </w:r>
          </w:p>
        </w:tc>
        <w:tc>
          <w:tcPr>
            <w:tcW w:w="29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D731C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RoB 2 domain</w:t>
            </w:r>
          </w:p>
        </w:tc>
        <w:tc>
          <w:tcPr>
            <w:tcW w:w="561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B25B3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Decision rule used in this review</w:t>
            </w:r>
          </w:p>
        </w:tc>
      </w:tr>
      <w:tr w14:paraId="017E6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0ACF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6DC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arising from the randomisation process</w:t>
            </w:r>
          </w:p>
        </w:tc>
        <w:tc>
          <w:tcPr>
            <w:tcW w:w="56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B63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sequence generation, allocation concealment, and baseline imbalances suggesting a problem with randomisation. Unclear methods normally produce Some concerns unless additional evidence indicates a major failure.</w:t>
            </w:r>
          </w:p>
        </w:tc>
      </w:tr>
      <w:tr w14:paraId="3416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88D9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D2</w:t>
            </w:r>
          </w:p>
        </w:tc>
        <w:tc>
          <w:tcPr>
            <w:tcW w:w="2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6453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due to deviations from intended interventions</w:t>
            </w:r>
          </w:p>
        </w:tc>
        <w:tc>
          <w:tcPr>
            <w:tcW w:w="561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03D0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For the assignment estimand, non-adherence alone is not bias when participants are analysed by randomised group. Judge whether trial-context deviations, differential co-interventions, or inappropriate analysis materially affect the result.</w:t>
            </w:r>
          </w:p>
        </w:tc>
      </w:tr>
      <w:tr w14:paraId="1492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4F92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D3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C337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due to missing outcome data</w:t>
            </w:r>
          </w:p>
        </w:tc>
        <w:tc>
          <w:tcPr>
            <w:tcW w:w="56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74A3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Compare available outcome data with the randomised denominator, reasons for missingness, balance between groups, and sensitivity analyses. A large or plausibly outcome-dependent loss can be High risk.</w:t>
            </w:r>
          </w:p>
        </w:tc>
      </w:tr>
      <w:tr w14:paraId="15B3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16BB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D4</w:t>
            </w:r>
          </w:p>
        </w:tc>
        <w:tc>
          <w:tcPr>
            <w:tcW w:w="2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DE32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measurement of the outcome</w:t>
            </w:r>
          </w:p>
        </w:tc>
        <w:tc>
          <w:tcPr>
            <w:tcW w:w="561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29E3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Consider outcome definition, assessor knowledge, differential ascertainment, and whether clinical decisions could be influenced by treatment knowledge. Objective, consistently applied definitions support Low risk.</w:t>
            </w:r>
          </w:p>
        </w:tc>
      </w:tr>
      <w:tr w14:paraId="4574E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6222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D5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C13D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selection of the reported result</w:t>
            </w:r>
          </w:p>
        </w:tc>
        <w:tc>
          <w:tcPr>
            <w:tcW w:w="56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43F7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Compare the reported result with prespecified outcomes, time points, analyses, registry entries, protocol, and analysis plan. Multiple eligible analyses without a verifiable selection rule increase concern.</w:t>
            </w:r>
          </w:p>
        </w:tc>
      </w:tr>
    </w:tbl>
    <w:p w14:paraId="3E0917F1">
      <w:pPr>
        <w:spacing w:after="0"/>
      </w:pPr>
    </w:p>
    <w:p w14:paraId="5DE67216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RoB 2 overall judgement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7460"/>
      </w:tblGrid>
      <w:tr w14:paraId="30DE3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9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A2757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Overall category</w:t>
            </w:r>
          </w:p>
        </w:tc>
        <w:tc>
          <w:tcPr>
            <w:tcW w:w="74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3BE7E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Rule</w:t>
            </w:r>
          </w:p>
        </w:tc>
      </w:tr>
      <w:tr w14:paraId="1C7B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3E61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Low risk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D173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All five domains are Low risk.</w:t>
            </w:r>
          </w:p>
        </w:tc>
      </w:tr>
      <w:tr w14:paraId="62AC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4D02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Some concerns</w:t>
            </w:r>
          </w:p>
        </w:tc>
        <w:tc>
          <w:tcPr>
            <w:tcW w:w="74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292B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At least one domain raises Some concerns, no domain is High risk, and the pattern does not substantially lower confidence in the result.</w:t>
            </w:r>
          </w:p>
        </w:tc>
      </w:tr>
      <w:tr w14:paraId="3FEF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C049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High risk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475A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At least one domain is High risk, or multiple concerns collectively substantially lower confidence in the result.</w:t>
            </w:r>
          </w:p>
        </w:tc>
      </w:tr>
    </w:tbl>
    <w:p w14:paraId="25F32CFB">
      <w:pPr>
        <w:spacing w:after="0"/>
      </w:pPr>
    </w:p>
    <w:p w14:paraId="0DF83FE7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3. ROBINS-I for observational studies</w:t>
      </w:r>
    </w:p>
    <w:p w14:paraId="304B3790">
      <w:r>
        <w:rPr>
          <w:rFonts w:ascii="Arial" w:hAnsi="Arial" w:eastAsia="Arial" w:cs="Arial"/>
          <w:color w:val="000000"/>
          <w:sz w:val="24"/>
          <w:szCs w:val="24"/>
        </w:rPr>
        <w:t>ROBINS-I was applied to the crude comparative effect used in the locked meta-analysis. The target trial was a hypothetical randomised comparison of prophylactic ciNPWT versus conventional dressing after eligible lower-extremity fracture surgery, with equivalent eligibility, co-interventions, follow-up, and outcome ascertainment.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800"/>
        <w:gridCol w:w="5710"/>
      </w:tblGrid>
      <w:tr w14:paraId="59AF2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85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F3C44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Domain</w:t>
            </w:r>
          </w:p>
        </w:tc>
        <w:tc>
          <w:tcPr>
            <w:tcW w:w="2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79EB3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ROBINS-I domain</w:t>
            </w:r>
          </w:p>
        </w:tc>
        <w:tc>
          <w:tcPr>
            <w:tcW w:w="571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1F119F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Decision rule used in this review</w:t>
            </w:r>
          </w:p>
        </w:tc>
      </w:tr>
      <w:tr w14:paraId="2156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DE14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44D7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due to confounding</w:t>
            </w:r>
          </w:p>
        </w:tc>
        <w:tc>
          <w:tcPr>
            <w:tcW w:w="57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A0F7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Determine whether prognostic factors also influenced receipt of ciNPWT and whether the reported effect adequately controlled them. Crude comparisons with major uncontrolled indication or era effects were judged Serious.</w:t>
            </w:r>
          </w:p>
        </w:tc>
      </w:tr>
      <w:tr w14:paraId="1691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35A6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D2</w:t>
            </w:r>
          </w:p>
        </w:tc>
        <w:tc>
          <w:tcPr>
            <w:tcW w:w="2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A1FC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selection of participants</w:t>
            </w:r>
          </w:p>
        </w:tc>
        <w:tc>
          <w:tcPr>
            <w:tcW w:w="571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A4BE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whether eligibility and entry into the analysed cohort were related to intervention and outcome, including post-intervention exclusions or incomplete case capture.</w:t>
            </w:r>
          </w:p>
        </w:tc>
      </w:tr>
      <w:tr w14:paraId="71F0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42E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D3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DFCD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classification of interventions</w:t>
            </w:r>
          </w:p>
        </w:tc>
        <w:tc>
          <w:tcPr>
            <w:tcW w:w="57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52F4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whether ciNPWT and control status were defined and recorded before outcomes and whether misclassification could differ by outcome risk.</w:t>
            </w:r>
          </w:p>
        </w:tc>
      </w:tr>
      <w:tr w14:paraId="79EC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0347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D4</w:t>
            </w:r>
          </w:p>
        </w:tc>
        <w:tc>
          <w:tcPr>
            <w:tcW w:w="2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F18C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due to deviations from intended interventions</w:t>
            </w:r>
          </w:p>
        </w:tc>
        <w:tc>
          <w:tcPr>
            <w:tcW w:w="571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2F5E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switching, additional wound treatments, and systematic co-intervention differences that arose after treatment initiation.</w:t>
            </w:r>
          </w:p>
        </w:tc>
      </w:tr>
      <w:tr w14:paraId="0199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D233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D5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8947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due to missing data</w:t>
            </w:r>
          </w:p>
        </w:tc>
        <w:tc>
          <w:tcPr>
            <w:tcW w:w="57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D1E0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missing participants, missing outcomes, group-specific completeness, and whether missingness could depend on prognosis or outcome.</w:t>
            </w:r>
          </w:p>
        </w:tc>
      </w:tr>
      <w:tr w14:paraId="11F88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8996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D6</w:t>
            </w:r>
          </w:p>
        </w:tc>
        <w:tc>
          <w:tcPr>
            <w:tcW w:w="2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E24C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measurement of outcomes</w:t>
            </w:r>
          </w:p>
        </w:tc>
        <w:tc>
          <w:tcPr>
            <w:tcW w:w="571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158A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outcome definitions, assessor awareness, surveillance intensity, and differential thresholds for diagnosing SSI or reoperating.</w:t>
            </w:r>
          </w:p>
        </w:tc>
      </w:tr>
      <w:tr w14:paraId="2B8F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A598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D7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B205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Bias in selection of the reported result</w:t>
            </w:r>
          </w:p>
        </w:tc>
        <w:tc>
          <w:tcPr>
            <w:tcW w:w="571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5258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Compare reported outcomes, time points, subgroup definitions, and adjusted analyses with any prespecified plan. Inconsistent numerators or selective presentation increase concern.</w:t>
            </w:r>
          </w:p>
        </w:tc>
      </w:tr>
    </w:tbl>
    <w:p w14:paraId="62C6C014">
      <w:pPr>
        <w:spacing w:after="0"/>
      </w:pPr>
    </w:p>
    <w:p w14:paraId="4183BF6E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5D192C13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ROBINS-I overall judgement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7460"/>
      </w:tblGrid>
      <w:tr w14:paraId="405B0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9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FF2B6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74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E6E9D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Operational interpretation</w:t>
            </w:r>
          </w:p>
        </w:tc>
      </w:tr>
      <w:tr w14:paraId="42B5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910C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Low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74E7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Comparable to a well-conducted randomised trial for this domain/result.</w:t>
            </w:r>
          </w:p>
        </w:tc>
      </w:tr>
      <w:tr w14:paraId="05E9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D884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74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F60C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Sound evidence for a non-randomised study, but not comparable to a well-conducted randomised trial.</w:t>
            </w:r>
          </w:p>
        </w:tc>
      </w:tr>
      <w:tr w14:paraId="2FD7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B16C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183E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Important problems in at least one domain substantially reduce confidence in the effect estimate.</w:t>
            </w:r>
          </w:p>
        </w:tc>
      </w:tr>
      <w:tr w14:paraId="1D6B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B879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Critical</w:t>
            </w:r>
          </w:p>
        </w:tc>
        <w:tc>
          <w:tcPr>
            <w:tcW w:w="74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5872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The result is too problematic to provide useful evidence for the causal question.</w:t>
            </w:r>
          </w:p>
        </w:tc>
      </w:tr>
      <w:tr w14:paraId="5F587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3229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No information</w:t>
            </w:r>
          </w:p>
        </w:tc>
        <w:tc>
          <w:tcPr>
            <w:tcW w:w="74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260E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Evidence is insufficient to judge a domain.</w:t>
            </w:r>
          </w:p>
        </w:tc>
      </w:tr>
    </w:tbl>
    <w:p w14:paraId="004BAA0A">
      <w:pPr>
        <w:spacing w:after="0"/>
      </w:pPr>
    </w:p>
    <w:p w14:paraId="36A4915C">
      <w:pPr>
        <w:pStyle w:val="164"/>
      </w:pPr>
      <w:r>
        <w:rPr>
          <w:rFonts w:ascii="Arial" w:hAnsi="Arial" w:eastAsia="Arial" w:cs="Arial"/>
          <w:color w:val="000000"/>
          <w:sz w:val="24"/>
          <w:szCs w:val="24"/>
        </w:rPr>
        <w:t>The overall ROBINS-I judgement was at least as severe as the most serious domain. Multiple important limitations could justify a more severe overall judgement; domain ratings were never averaged.</w:t>
      </w:r>
    </w:p>
    <w:p w14:paraId="640260F1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4. Prespecified confounding domains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3480"/>
        <w:gridCol w:w="3280"/>
      </w:tblGrid>
      <w:tr w14:paraId="04EE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</w:trPr>
        <w:tc>
          <w:tcPr>
            <w:tcW w:w="26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BA1C0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Confounding domain</w:t>
            </w:r>
          </w:p>
        </w:tc>
        <w:tc>
          <w:tcPr>
            <w:tcW w:w="34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E1676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Causal rationale</w:t>
            </w:r>
          </w:p>
        </w:tc>
        <w:tc>
          <w:tcPr>
            <w:tcW w:w="328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357CE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Expected handling</w:t>
            </w:r>
          </w:p>
        </w:tc>
      </w:tr>
      <w:tr w14:paraId="2AA5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4F12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Smoking or nicotine exposure</w:t>
            </w:r>
          </w:p>
        </w:tc>
        <w:tc>
          <w:tcPr>
            <w:tcW w:w="3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9254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Tissue perfusion and infection risk; may influence selection for ciNPWT</w:t>
            </w:r>
          </w:p>
        </w:tc>
        <w:tc>
          <w:tcPr>
            <w:tcW w:w="32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81BB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current/former use; prefer adjusted or stratified estimates</w:t>
            </w:r>
          </w:p>
        </w:tc>
      </w:tr>
      <w:tr w14:paraId="72EF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372A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Diabetes and perioperative glycaemia</w:t>
            </w:r>
          </w:p>
        </w:tc>
        <w:tc>
          <w:tcPr>
            <w:tcW w:w="3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10AF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Strong infection predictor and possible indication for prophylactic ciNPWT</w:t>
            </w:r>
          </w:p>
        </w:tc>
        <w:tc>
          <w:tcPr>
            <w:tcW w:w="32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7B3B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Check balance and adjustment</w:t>
            </w:r>
          </w:p>
        </w:tc>
      </w:tr>
      <w:tr w14:paraId="3CB48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5056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BMI or obesity</w:t>
            </w:r>
          </w:p>
        </w:tc>
        <w:tc>
          <w:tcPr>
            <w:tcW w:w="3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2693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Wound tension and infection risk; influences dressing selection</w:t>
            </w:r>
          </w:p>
        </w:tc>
        <w:tc>
          <w:tcPr>
            <w:tcW w:w="32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9C4F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continuous BMI and obesity thresholds</w:t>
            </w:r>
          </w:p>
        </w:tc>
      </w:tr>
      <w:tr w14:paraId="5392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C951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Open fracture and soft-tissue injury</w:t>
            </w:r>
          </w:p>
        </w:tc>
        <w:tc>
          <w:tcPr>
            <w:tcW w:w="3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08A7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Directly affects infection risk and treatment indication</w:t>
            </w:r>
          </w:p>
        </w:tc>
        <w:tc>
          <w:tcPr>
            <w:tcW w:w="32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8A81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Gustilo grade, closure status, and soft-tissue condition</w:t>
            </w:r>
          </w:p>
        </w:tc>
      </w:tr>
      <w:tr w14:paraId="6369A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4EF9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Fracture site, type, and severity</w:t>
            </w:r>
          </w:p>
        </w:tc>
        <w:tc>
          <w:tcPr>
            <w:tcW w:w="3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C945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Affects prognosis and procedural complexity</w:t>
            </w:r>
          </w:p>
        </w:tc>
        <w:tc>
          <w:tcPr>
            <w:tcW w:w="32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93E3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AO/OTA or equivalent classification</w:t>
            </w:r>
          </w:p>
        </w:tc>
      </w:tr>
      <w:tr w14:paraId="709D6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B1E3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Temporary fixation, staged surgery, and time to surgery</w:t>
            </w:r>
          </w:p>
        </w:tc>
        <w:tc>
          <w:tcPr>
            <w:tcW w:w="3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755E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Markers of soft-tissue severity and infection risk</w:t>
            </w:r>
          </w:p>
        </w:tc>
        <w:tc>
          <w:tcPr>
            <w:tcW w:w="32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9A03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prevalence and duration; adjust when possible</w:t>
            </w:r>
          </w:p>
        </w:tc>
      </w:tr>
      <w:tr w14:paraId="4A92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9E32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Age, sex, ASA, and comorbidity</w:t>
            </w:r>
          </w:p>
        </w:tc>
        <w:tc>
          <w:tcPr>
            <w:tcW w:w="3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11F8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Baseline prognosis and treatment selection</w:t>
            </w:r>
          </w:p>
        </w:tc>
        <w:tc>
          <w:tcPr>
            <w:tcW w:w="32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B139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At minimum assess age, sex, ASA, vascular disease</w:t>
            </w:r>
          </w:p>
        </w:tc>
      </w:tr>
      <w:tr w14:paraId="4BDF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A764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Polytrauma or injury severity</w:t>
            </w:r>
          </w:p>
        </w:tc>
        <w:tc>
          <w:tcPr>
            <w:tcW w:w="3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494F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Systemic state, timing, and infection risk</w:t>
            </w:r>
          </w:p>
        </w:tc>
        <w:tc>
          <w:tcPr>
            <w:tcW w:w="32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76CA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Extract ISS or other polytrauma markers</w:t>
            </w:r>
          </w:p>
        </w:tc>
      </w:tr>
      <w:tr w14:paraId="2280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602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Surgeon, centre, and calendar era</w:t>
            </w:r>
          </w:p>
        </w:tc>
        <w:tc>
          <w:tcPr>
            <w:tcW w:w="3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B597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Preference, learning, and secular changes</w:t>
            </w:r>
          </w:p>
        </w:tc>
        <w:tc>
          <w:tcPr>
            <w:tcW w:w="32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29DE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Assess clustering and era adjustment</w:t>
            </w:r>
          </w:p>
        </w:tc>
      </w:tr>
      <w:tr w14:paraId="2CEB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9CC3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Closure, antibiotics, irrigation, and MRSA measures</w:t>
            </w:r>
          </w:p>
        </w:tc>
        <w:tc>
          <w:tcPr>
            <w:tcW w:w="34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0CF4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Direct co-interventions affecting SSI</w:t>
            </w:r>
          </w:p>
        </w:tc>
        <w:tc>
          <w:tcPr>
            <w:tcW w:w="328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0ADC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Document systematic group differences</w:t>
            </w:r>
          </w:p>
        </w:tc>
      </w:tr>
    </w:tbl>
    <w:p w14:paraId="1A982368">
      <w:pPr>
        <w:spacing w:after="0"/>
      </w:pPr>
    </w:p>
    <w:p w14:paraId="694C0ED6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5. Study-specific application rules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7160"/>
      </w:tblGrid>
      <w:tr w14:paraId="71BD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2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0B291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Issue</w:t>
            </w:r>
          </w:p>
        </w:tc>
        <w:tc>
          <w:tcPr>
            <w:tcW w:w="71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435579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Rule applied</w:t>
            </w:r>
          </w:p>
        </w:tc>
      </w:tr>
      <w:tr w14:paraId="385B0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8FAB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WHIST 30 vs 90 days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E43E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Separate RoB 2 assessments were retained. The 30-day result had complete low-risk domain judgements after adjudication; the 90-day result remained High risk because substantial outcome data were unavailable.</w:t>
            </w:r>
          </w:p>
        </w:tc>
      </w:tr>
      <w:tr w14:paraId="6D44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AA4E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WHISH 30 vs 90 days</w:t>
            </w:r>
          </w:p>
        </w:tc>
        <w:tc>
          <w:tcPr>
            <w:tcW w:w="71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4A64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The primary synthesis uses the 90-day result. Registry and article methods supported reporting of both time points; D5 was resolved to Low risk for the 90-day result.</w:t>
            </w:r>
          </w:p>
        </w:tc>
      </w:tr>
      <w:tr w14:paraId="2F983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A22C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Stannard 2012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C469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Participants were randomised, but infection was analysed at fracture level without clustering adjustment; this and incomplete reporting contributed to High risk overall.</w:t>
            </w:r>
          </w:p>
        </w:tc>
      </w:tr>
      <w:tr w14:paraId="0BCC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C9A8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Johnson 2024</w:t>
            </w:r>
          </w:p>
        </w:tc>
        <w:tc>
          <w:tcPr>
            <w:tcW w:w="71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027C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The main-text deep-SSI count, 9/40 versus 11/140, was locked. The figure-implied alternative was excluded. This inconsistency contributed to Serious risk in selective reporting.</w:t>
            </w:r>
          </w:p>
        </w:tc>
      </w:tr>
      <w:tr w14:paraId="315B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FE56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Observational estimates</w:t>
            </w:r>
          </w:p>
        </w:tc>
        <w:tc>
          <w:tcPr>
            <w:tcW w:w="71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DE61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The meta-analysis uses crude event counts. Adjusted estimates were not sufficiently comparable across studies; all observational pooled effects remain exploratory and non-causal.</w:t>
            </w:r>
          </w:p>
        </w:tc>
      </w:tr>
    </w:tbl>
    <w:p w14:paraId="2A93F31C">
      <w:pPr>
        <w:spacing w:after="0"/>
      </w:pPr>
    </w:p>
    <w:p w14:paraId="1911B9C6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6. Final consensus map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3760"/>
        <w:gridCol w:w="3000"/>
        <w:gridCol w:w="1300"/>
      </w:tblGrid>
      <w:tr w14:paraId="2B0B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FE291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Tool</w:t>
            </w:r>
          </w:p>
        </w:tc>
        <w:tc>
          <w:tcPr>
            <w:tcW w:w="37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98133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Study and target result</w:t>
            </w:r>
          </w:p>
        </w:tc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E93A5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Final domain profile</w:t>
            </w:r>
          </w:p>
        </w:tc>
        <w:tc>
          <w:tcPr>
            <w:tcW w:w="1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A344F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Overall</w:t>
            </w:r>
          </w:p>
        </w:tc>
      </w:tr>
      <w:tr w14:paraId="337E5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7090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6A90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WHISH (Masters 2021) - Deep SSI, 90 days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14E7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L; D2 SC; D3 SC; D4 L; D5 L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3B4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Some concerns</w:t>
            </w:r>
          </w:p>
        </w:tc>
      </w:tr>
      <w:tr w14:paraId="33DF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2F73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6DDF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WHIST (Costa 2020) - Deep SSI, 90 days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30D0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L; D2 L; D3 H; D4 L; D5 L</w:t>
            </w:r>
          </w:p>
        </w:tc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39B8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High risk</w:t>
            </w:r>
          </w:p>
        </w:tc>
      </w:tr>
      <w:tr w14:paraId="19B72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8BFF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D1D3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WHIST (Costa 2020) - Deep SSI, 30 days</w:t>
            </w:r>
          </w:p>
        </w:tc>
        <w:tc>
          <w:tcPr>
            <w:tcW w:w="3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3050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L; D2 L; D3 L; D4 L; D5 L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C4B6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Low risk</w:t>
            </w:r>
          </w:p>
        </w:tc>
      </w:tr>
      <w:tr w14:paraId="1E25F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105F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8EF1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Crist 2017 - Deep infection to fracture union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A4AB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SC; D2 L; D3 SC; D4 SC; D5 SC</w:t>
            </w:r>
          </w:p>
        </w:tc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F496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High risk</w:t>
            </w:r>
          </w:p>
        </w:tc>
      </w:tr>
      <w:tr w14:paraId="6E603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CCA8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23B9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Pauser 2016 - Seroma volume, day 5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E4FE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SC; D2 SC; D3 L; D4 H; D5 SC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4CB3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High risk</w:t>
            </w:r>
          </w:p>
        </w:tc>
      </w:tr>
      <w:tr w14:paraId="2DA3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C675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</w:t>
            </w:r>
          </w:p>
        </w:tc>
        <w:tc>
          <w:tcPr>
            <w:tcW w:w="37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48D9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Stannard 2012 - Infection, longest follow-up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19B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SC; D2 SC; D3 SC; D4 SC; D5 SC</w:t>
            </w:r>
          </w:p>
        </w:tc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C66A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High risk</w:t>
            </w:r>
          </w:p>
        </w:tc>
      </w:tr>
      <w:tr w14:paraId="37DF2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75F2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D620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Johnson 2024 - Deep SSI, &gt;=90 days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7D7D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S; D2 S; D3 L; D4 M; D5 M; D6 M; D7 S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FB07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</w:tr>
      <w:tr w14:paraId="6B821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F210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</w:t>
            </w:r>
          </w:p>
        </w:tc>
        <w:tc>
          <w:tcPr>
            <w:tcW w:w="37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BF24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Zelle 2022 - Deep SSI, follow-up not reported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0E71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S; D2 M; D3 L; D4 M; D5 NI; D6 M; D7 S</w:t>
            </w:r>
          </w:p>
        </w:tc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43CC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</w:tr>
      <w:tr w14:paraId="418B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38AE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D793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Canton 2020 - SSI, follow-up not reported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3D19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S; D2 M; D3 L; D4 M; D5 M; D6 M; D7 S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96B1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</w:tr>
      <w:tr w14:paraId="5831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F209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</w:t>
            </w:r>
          </w:p>
        </w:tc>
        <w:tc>
          <w:tcPr>
            <w:tcW w:w="37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6F4D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Cooper 2018 - Deep SSI, 90 days</w:t>
            </w:r>
          </w:p>
        </w:tc>
        <w:tc>
          <w:tcPr>
            <w:tcW w:w="30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632C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S; D2 M; D3 L; D4 S; D5 L; D6 M; D7 M</w:t>
            </w:r>
          </w:p>
        </w:tc>
        <w:tc>
          <w:tcPr>
            <w:tcW w:w="13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1C01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</w:tr>
      <w:tr w14:paraId="71A6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0FB7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CC2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Zhou 2016 - Any SSI, follow-up not reported</w:t>
            </w: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1BAF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D1 S; D2 L; D3 L; D4 M; D5 L; D6 M; D7 M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28E3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Serious</w:t>
            </w:r>
          </w:p>
        </w:tc>
      </w:tr>
    </w:tbl>
    <w:p w14:paraId="4B250411">
      <w:pPr>
        <w:spacing w:after="0"/>
      </w:pPr>
    </w:p>
    <w:p w14:paraId="28F48F70">
      <w:pPr>
        <w:pStyle w:val="164"/>
      </w:pPr>
      <w:r>
        <w:rPr>
          <w:rFonts w:ascii="Arial" w:hAnsi="Arial" w:eastAsia="Arial" w:cs="Arial"/>
          <w:color w:val="000000"/>
          <w:sz w:val="24"/>
          <w:szCs w:val="24"/>
        </w:rPr>
        <w:t>Abbreviations: H, High risk; L, Low risk; M, Moderate; NI, No information; S, Serious; SC, Some concerns.</w:t>
      </w:r>
    </w:p>
    <w:p w14:paraId="30044E2B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7. Use in synthesis and certainty assessment</w:t>
      </w:r>
    </w:p>
    <w:p w14:paraId="0E8DD461">
      <w:r>
        <w:rPr>
          <w:rFonts w:ascii="Arial" w:hAnsi="Arial" w:eastAsia="Arial" w:cs="Arial"/>
          <w:color w:val="000000"/>
          <w:sz w:val="24"/>
          <w:szCs w:val="24"/>
        </w:rPr>
        <w:t>Risk-of-bias judgements informed the interpretation of every forest plot and the GRADE assessment. They were not used as numerical study weights. The primary 90-day RCT estimate was interpreted with explicit concern about the WHIST 90-day missing-outcome-data domain. Broad RCT and all observational pools were labelled exploratory. Observational findings were not presented as causal effects.</w:t>
      </w:r>
    </w:p>
    <w:tbl>
      <w:tblPr>
        <w:tblStyle w:val="32"/>
        <w:tblW w:w="9360" w:type="dxa"/>
        <w:tblInd w:w="12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F4FBF5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28CE6">
            <w:pPr>
              <w:spacing w:after="0"/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Version control.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These rules and consensus judgements correspond to the final two-reviewer consensus dated 13 August 2026 and the locked statistical version dated 10 August 2026. Any later change to an event count, target result, or analysis time point requires a result-specific reassessment.</w:t>
            </w:r>
          </w:p>
        </w:tc>
      </w:tr>
    </w:tbl>
    <w:p w14:paraId="18C3C187">
      <w:pPr>
        <w:spacing w:after="0"/>
      </w:pPr>
    </w:p>
    <w:p w14:paraId="396F1E9A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8. Source documents</w:t>
      </w:r>
    </w:p>
    <w:p w14:paraId="18BC5303">
      <w:r>
        <w:rPr>
          <w:rFonts w:ascii="Arial" w:hAnsi="Arial" w:eastAsia="Arial" w:cs="Arial"/>
          <w:color w:val="000000"/>
          <w:sz w:val="24"/>
          <w:szCs w:val="24"/>
        </w:rPr>
        <w:t>The assessment used the RoB 2 tool for parallel-group randomised tria</w:t>
      </w:r>
      <w:bookmarkStart w:id="0" w:name="_GoBack"/>
      <w:bookmarkEnd w:id="0"/>
      <w:r>
        <w:rPr>
          <w:rFonts w:ascii="Arial" w:hAnsi="Arial" w:eastAsia="Arial" w:cs="Arial"/>
          <w:color w:val="000000"/>
          <w:sz w:val="24"/>
          <w:szCs w:val="24"/>
        </w:rPr>
        <w:t>ls (2019 version), ROBINS-I (2016 version), the included full-text reports, and the final consensus workbook. Detailed signalling-question responses, reviewer disagreements, and adjudication rationales are preserved in Supplementary Appendix S7.</w:t>
      </w:r>
    </w:p>
    <w:sectPr>
      <w:headerReference r:id="rId5" w:type="default"/>
      <w:footerReference r:id="rId6" w:type="default"/>
      <w:pgSz w:w="12240" w:h="15840"/>
      <w:pgMar w:top="1080" w:right="1152" w:bottom="1080" w:left="1152" w:header="504" w:footer="50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9D923">
    <w:pPr>
      <w:pStyle w:val="24"/>
      <w:jc w:val="right"/>
    </w:pPr>
    <w:r>
      <w:rPr>
        <w:rFonts w:ascii="Arial" w:hAnsi="Arial" w:eastAsia="Arial" w:cs="Arial"/>
        <w:color w:val="000000"/>
        <w:sz w:val="24"/>
        <w:szCs w:val="24"/>
      </w:rPr>
      <w:t xml:space="preserve">Page </w:t>
    </w:r>
    <w:r>
      <w:rPr>
        <w:rFonts w:ascii="Arial" w:hAnsi="Arial" w:eastAsia="Arial" w:cs="Arial"/>
        <w:color w:val="000000"/>
        <w:sz w:val="24"/>
        <w:szCs w:val="24"/>
      </w:rPr>
      <w:fldChar w:fldCharType="begin"/>
    </w:r>
    <w:r>
      <w:rPr>
        <w:rFonts w:ascii="Arial" w:hAnsi="Arial" w:eastAsia="Arial" w:cs="Arial"/>
        <w:color w:val="000000"/>
        <w:sz w:val="24"/>
        <w:szCs w:val="24"/>
      </w:rPr>
      <w:instrText xml:space="preserve"> PAGE </w:instrText>
    </w:r>
    <w:r>
      <w:rPr>
        <w:rFonts w:ascii="Arial" w:hAnsi="Arial" w:eastAsia="Arial" w:cs="Arial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F7DAF">
    <w:pPr>
      <w:pStyle w:val="25"/>
      <w:jc w:val="right"/>
    </w:pPr>
    <w:r>
      <w:rPr>
        <w:rFonts w:ascii="Arial" w:hAnsi="Arial" w:eastAsia="Arial" w:cs="Arial"/>
        <w:color w:val="000000"/>
        <w:sz w:val="24"/>
        <w:szCs w:val="24"/>
      </w:rPr>
      <w:t>Supplementary Appendix S9 | Risk-of-bias methods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BD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276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4"/>
      <w:szCs w:val="24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4"/>
      <w:szCs w:val="24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4"/>
      <w:szCs w:val="24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before="80" w:after="80" w:line="240" w:lineRule="auto"/>
    </w:pPr>
    <w:rPr>
      <w:rFonts w:ascii="Arial" w:hAnsi="Arial" w:eastAsia="Arial" w:cs="Arial"/>
      <w:b/>
      <w:bCs/>
      <w:i/>
      <w:color w:val="000000"/>
      <w:sz w:val="24"/>
      <w:szCs w:val="24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Arial" w:hAnsi="Arial" w:eastAsia="Arial" w:cs="Arial"/>
      <w:color w:val="000000"/>
      <w:sz w:val="24"/>
      <w:szCs w:val="24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Arial" w:hAnsi="Arial" w:eastAsia="Arial" w:cs="Arial"/>
      <w:b/>
      <w:bCs/>
      <w:color w:val="000000"/>
      <w:sz w:val="24"/>
      <w:szCs w:val="24"/>
    </w:rPr>
  </w:style>
  <w:style w:type="character" w:styleId="134">
    <w:name w:val="Emphasis"/>
    <w:basedOn w:val="132"/>
    <w:qFormat/>
    <w:uiPriority w:val="20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39">
    <w:name w:val="Heading 2 Char"/>
    <w:basedOn w:val="132"/>
    <w:link w:val="4"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0">
    <w:name w:val="Heading 3 Char"/>
    <w:basedOn w:val="132"/>
    <w:link w:val="5"/>
    <w:qFormat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1">
    <w:name w:val="Title Char"/>
    <w:basedOn w:val="132"/>
    <w:link w:val="31"/>
    <w:qFormat/>
    <w:uiPriority w:val="10"/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character" w:customStyle="1" w:styleId="142">
    <w:name w:val="Subtitle Char"/>
    <w:basedOn w:val="132"/>
    <w:link w:val="26"/>
    <w:qFormat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rFonts w:ascii="Arial" w:hAnsi="Arial" w:eastAsia="Arial" w:cs="Arial"/>
      <w:color w:val="000000"/>
      <w:sz w:val="24"/>
      <w:szCs w:val="24"/>
    </w:rPr>
  </w:style>
  <w:style w:type="character" w:customStyle="1" w:styleId="147">
    <w:name w:val="Macro Text Char"/>
    <w:basedOn w:val="132"/>
    <w:link w:val="2"/>
    <w:uiPriority w:val="99"/>
    <w:rPr>
      <w:rFonts w:ascii="Arial" w:hAnsi="Arial" w:eastAsia="Arial" w:cs="Arial"/>
      <w:color w:val="000000"/>
      <w:sz w:val="24"/>
      <w:szCs w:val="24"/>
    </w:rPr>
  </w:style>
  <w:style w:type="paragraph" w:styleId="148">
    <w:name w:val="Quote"/>
    <w:basedOn w:val="1"/>
    <w:next w:val="1"/>
    <w:link w:val="149"/>
    <w:qFormat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49">
    <w:name w:val="Quote Char"/>
    <w:basedOn w:val="132"/>
    <w:link w:val="148"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2">
    <w:name w:val="Heading 6 Char"/>
    <w:basedOn w:val="132"/>
    <w:link w:val="8"/>
    <w:semiHidden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4">
    <w:name w:val="Heading 8 Char"/>
    <w:basedOn w:val="132"/>
    <w:link w:val="10"/>
    <w:semiHidden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7">
    <w:name w:val="Intense Quote Char"/>
    <w:basedOn w:val="132"/>
    <w:link w:val="156"/>
    <w:qFormat/>
    <w:uiPriority w:val="30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8">
    <w:name w:val="Subtle Emphasis"/>
    <w:basedOn w:val="132"/>
    <w:qFormat/>
    <w:uiPriority w:val="1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9">
    <w:name w:val="Intense Emphasis"/>
    <w:basedOn w:val="132"/>
    <w:qFormat/>
    <w:uiPriority w:val="21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60">
    <w:name w:val="Subtle Reference"/>
    <w:basedOn w:val="132"/>
    <w:qFormat/>
    <w:uiPriority w:val="31"/>
    <w:rPr>
      <w:rFonts w:ascii="Arial" w:hAnsi="Arial" w:eastAsia="Arial" w:cs="Arial"/>
      <w:smallCaps/>
      <w:color w:val="000000"/>
      <w:sz w:val="24"/>
      <w:szCs w:val="24"/>
      <w:u w:val="single"/>
    </w:rPr>
  </w:style>
  <w:style w:type="character" w:customStyle="1" w:styleId="161">
    <w:name w:val="Intense Reference"/>
    <w:basedOn w:val="132"/>
    <w:qFormat/>
    <w:uiPriority w:val="32"/>
    <w:rPr>
      <w:rFonts w:ascii="Arial" w:hAnsi="Arial" w:eastAsia="Arial" w:cs="Arial"/>
      <w:b/>
      <w:bCs/>
      <w:smallCaps/>
      <w:color w:val="000000"/>
      <w:spacing w:val="5"/>
      <w:sz w:val="24"/>
      <w:szCs w:val="24"/>
      <w:u w:val="single"/>
    </w:rPr>
  </w:style>
  <w:style w:type="character" w:customStyle="1" w:styleId="162">
    <w:name w:val="Book Title"/>
    <w:basedOn w:val="132"/>
    <w:qFormat/>
    <w:uiPriority w:val="33"/>
    <w:rPr>
      <w:rFonts w:ascii="Arial" w:hAnsi="Arial" w:eastAsia="Arial" w:cs="Arial"/>
      <w:b/>
      <w:bCs/>
      <w:smallCaps/>
      <w:color w:val="000000"/>
      <w:spacing w:val="5"/>
      <w:sz w:val="24"/>
      <w:szCs w:val="24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Small note"/>
    <w:uiPriority w:val="0"/>
    <w:pPr>
      <w:spacing w:after="80" w:line="252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1528</Words>
  <Characters>8909</Characters>
  <Lines>0</Lines>
  <Paragraphs>0</Paragraphs>
  <TotalTime>1</TotalTime>
  <ScaleCrop>false</ScaleCrop>
  <LinksUpToDate>false</LinksUpToDate>
  <CharactersWithSpaces>10251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WPS_1695207348</cp:lastModifiedBy>
  <dcterms:created xsi:type="dcterms:W3CDTF">2013-12-23T23:15:00Z</dcterms:created>
  <dcterms:modified xsi:type="dcterms:W3CDTF">2026-09-07T13:40:26Z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eyJoZGlkIjoiMWMzOTVlMGM3YmYzMzQzZTFjMDE5ZDM4YTgyOGI4YmMiLCJ1c2VySWQiOiIxNTMzNjY5Mzk2In0=</vt:lpwstr>
  </property>
  <property fmtid="{D5CDD505-2E9C-101B-9397-08002B2CF9AE}" pid="3" name="KSOProductBuildVer">
    <vt:lpwstr>2052-12.1.0.28505</vt:lpwstr>
  </property>
  <property fmtid="{D5CDD505-2E9C-101B-9397-08002B2CF9AE}" pid="4" name="ICV">
    <vt:lpwstr>6B781DF4DEB64ADAA4552E1257B6D688_12</vt:lpwstr>
  </property>
</Properties>
</file>