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2EC13">
      <w:pPr>
        <w:jc w:val="center"/>
      </w:pPr>
      <w:r>
        <w:rPr>
          <w:rFonts w:ascii="Arial" w:hAnsi="Arial" w:eastAsia="Arial" w:cs="Arial"/>
          <w:b/>
          <w:color w:val="000000"/>
          <w:sz w:val="24"/>
          <w:szCs w:val="24"/>
        </w:rPr>
        <w:t>Supplementary Appendix S10</w:t>
      </w:r>
    </w:p>
    <w:p w14:paraId="23E1E3F8">
      <w:pPr>
        <w:jc w:val="center"/>
      </w:pPr>
      <w:r>
        <w:rPr>
          <w:rFonts w:ascii="Arial" w:hAnsi="Arial" w:eastAsia="Arial" w:cs="Arial"/>
          <w:b/>
          <w:color w:val="000000"/>
          <w:sz w:val="24"/>
          <w:szCs w:val="24"/>
        </w:rPr>
        <w:t>Supplementary materials index and figure legends</w:t>
      </w:r>
    </w:p>
    <w:p w14:paraId="18FA565E">
      <w:pPr>
        <w:jc w:val="center"/>
      </w:pPr>
      <w:r>
        <w:rPr>
          <w:rFonts w:ascii="Arial" w:hAnsi="Arial" w:eastAsia="Arial" w:cs="Arial"/>
          <w:i/>
          <w:color w:val="000000"/>
          <w:sz w:val="24"/>
          <w:szCs w:val="24"/>
        </w:rPr>
        <w:t>ciNPWT after lower-extremity fracture surgery: systematic review and design-stratified meta-analysis</w:t>
      </w: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2"/>
      </w:tblGrid>
      <w:tr w14:paraId="59CC7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0656" w:type="dxa"/>
            <w:shd w:val="clear" w:color="auto" w:fill="auto"/>
          </w:tcPr>
          <w:p w14:paraId="23249F1D">
            <w:r>
              <w:t>Version locks: statistical analyses 10 August 2026; final two-reviewer risk-of-bias consensus 13 August 2026; consolidated extraction release 23 August 2026. Figure files are supplied as PDF submission versions; TIF source files are archived separately.</w:t>
            </w:r>
          </w:p>
        </w:tc>
      </w:tr>
    </w:tbl>
    <w:p w14:paraId="5E72DBF7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1. Master inventory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2"/>
        <w:gridCol w:w="3552"/>
        <w:gridCol w:w="3552"/>
      </w:tblGrid>
      <w:tr w14:paraId="0CBD7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2088" w:type="dxa"/>
            <w:shd w:val="clear" w:color="auto" w:fill="auto"/>
            <w:vAlign w:val="center"/>
          </w:tcPr>
          <w:p w14:paraId="73EFB592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Material class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3DF09B6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Numbering</w:t>
            </w:r>
          </w:p>
        </w:tc>
        <w:tc>
          <w:tcPr>
            <w:tcW w:w="6264" w:type="dxa"/>
            <w:shd w:val="clear" w:color="auto" w:fill="auto"/>
            <w:vAlign w:val="center"/>
          </w:tcPr>
          <w:p w14:paraId="1F014185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Scope</w:t>
            </w:r>
          </w:p>
        </w:tc>
      </w:tr>
      <w:tr w14:paraId="7CB1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81D4EE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Main figures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3B1764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Figures 1–4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903FFB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PRISMA flow, primary/secondary RCT forest plot, design-stratified evidence profile, and absolute-effects/GRADE display.</w:t>
            </w:r>
          </w:p>
        </w:tc>
      </w:tr>
      <w:tr w14:paraId="656F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8ECAB7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890386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Figures S1–S13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82B9F5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Evidence landscapes, descriptive funnel plot, RoB 2 and ROBINS-I displays, sensitivity/influence plots, L'Abbé plots, risk differences, and WHIST local wound-healing signs.</w:t>
            </w:r>
          </w:p>
        </w:tc>
      </w:tr>
      <w:tr w14:paraId="29BD7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0EC6A0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5EEC56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Figures A1–A8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127583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Outcome-specific forest plots for each locked analysis pool.</w:t>
            </w:r>
          </w:p>
        </w:tc>
      </w:tr>
      <w:tr w14:paraId="784B9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251C3D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Main tables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AF42F9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Tables 1–2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CB0D48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Included-study characteristics and GRADE Summary of Findings.</w:t>
            </w:r>
          </w:p>
        </w:tc>
      </w:tr>
      <w:tr w14:paraId="35C4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2DBE4D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tables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2866B8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Tables S1–S2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47A000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Extended GRADE profile and WHIST local wound-healing signs.</w:t>
            </w:r>
          </w:p>
        </w:tc>
      </w:tr>
      <w:tr w14:paraId="7828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C24A06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data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75EF69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Data S1–S2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D5C901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Formula-auditable study-level effects and the final complete ten-study extraction workbook.</w:t>
            </w:r>
          </w:p>
        </w:tc>
      </w:tr>
      <w:tr w14:paraId="0A31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8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6F1F30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appendices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A6FBEA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Appendices S1–S10</w:t>
            </w:r>
          </w:p>
        </w:tc>
        <w:tc>
          <w:tcPr>
            <w:tcW w:w="626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2BBFFC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PRISMA checklists, methods, searches, screening/exclusion records, risk-of-bias files, declarations, decision rules, and this index.</w:t>
            </w:r>
          </w:p>
        </w:tc>
      </w:tr>
    </w:tbl>
    <w:p w14:paraId="6026EA04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2. Main figure legends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  <w:gridCol w:w="5328"/>
      </w:tblGrid>
      <w:tr w14:paraId="0EF9B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1656" w:type="dxa"/>
            <w:shd w:val="clear" w:color="auto" w:fill="auto"/>
            <w:vAlign w:val="center"/>
          </w:tcPr>
          <w:p w14:paraId="4CC3D650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Figure</w:t>
            </w:r>
          </w:p>
        </w:tc>
        <w:tc>
          <w:tcPr>
            <w:tcW w:w="9216" w:type="dxa"/>
            <w:shd w:val="clear" w:color="auto" w:fill="auto"/>
            <w:vAlign w:val="center"/>
          </w:tcPr>
          <w:p w14:paraId="24D21F28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Legend</w:t>
            </w:r>
          </w:p>
        </w:tc>
      </w:tr>
      <w:tr w14:paraId="024C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20C156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Figure 1</w:t>
            </w:r>
          </w:p>
        </w:tc>
        <w:tc>
          <w:tcPr>
            <w:tcW w:w="921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AFC22F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PRISMA 2020 flow diagram for identification, screening, eligibility assessment, and inclusion. Reports from the same underlying study were linked before inclusion counts were assigned.</w:t>
            </w:r>
          </w:p>
        </w:tc>
      </w:tr>
      <w:tr w14:paraId="5E74D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95A694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Figure 2</w:t>
            </w:r>
          </w:p>
        </w:tc>
        <w:tc>
          <w:tcPr>
            <w:tcW w:w="921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8F7928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Deep surgical-site infection in randomized controlled trials. The upper block is the prespecified primary cumulative 90-day analysis; the lower block is the secondary 30-day time point. Squares show study estimates and diamonds show REML random-effects pooled estimates. Risk ratios below 1 favour ciNPWT.</w:t>
            </w:r>
          </w:p>
        </w:tc>
      </w:tr>
      <w:tr w14:paraId="6361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3A4100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Figure 3</w:t>
            </w:r>
          </w:p>
        </w:tc>
        <w:tc>
          <w:tcPr>
            <w:tcW w:w="921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A89327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Design-stratified evidence profile for ciNPWT versus conventional dressing. Randomized and observational estimates are presented separately. The display is descriptive; no formal between-design pooling or causal comparison was performed.</w:t>
            </w:r>
          </w:p>
        </w:tc>
      </w:tr>
      <w:tr w14:paraId="18C2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1FE67F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Figure 4</w:t>
            </w:r>
          </w:p>
        </w:tc>
        <w:tc>
          <w:tcPr>
            <w:tcW w:w="921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72A191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Absolute effects and certainty of evidence. Absolute risks are calculated from pooled control risks and the REML random-effects risk ratios. Certainty ratings follow GRADE; hematoma is shown as an evidence gap because no independent grouped comparison was available.</w:t>
            </w:r>
          </w:p>
        </w:tc>
      </w:tr>
    </w:tbl>
    <w:p w14:paraId="160D4E31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3. Supplementary figure legends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  <w:gridCol w:w="5328"/>
      </w:tblGrid>
      <w:tr w14:paraId="7663A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2376" w:type="dxa"/>
            <w:shd w:val="clear" w:color="auto" w:fill="auto"/>
            <w:vAlign w:val="center"/>
          </w:tcPr>
          <w:p w14:paraId="3F42BBE1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Figure</w:t>
            </w:r>
          </w:p>
        </w:tc>
        <w:tc>
          <w:tcPr>
            <w:tcW w:w="8496" w:type="dxa"/>
            <w:shd w:val="clear" w:color="auto" w:fill="auto"/>
            <w:vAlign w:val="center"/>
          </w:tcPr>
          <w:p w14:paraId="7BF2175C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Legend</w:t>
            </w:r>
          </w:p>
        </w:tc>
      </w:tr>
      <w:tr w14:paraId="3C91B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FC45FB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S1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E949CD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Randomized controlled trial evidence landscape. Separate blocks show the 90-day primary deep-SSI analysis, the 30-day secondary time point, and the broad longest-available exploratory infection analysis.</w:t>
            </w:r>
          </w:p>
        </w:tc>
      </w:tr>
      <w:tr w14:paraId="0A38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819A63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S2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067A3C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Observational-study evidence landscape. All pools are exploratory and use crude events; all contributing studies were at serious risk of bias.</w:t>
            </w:r>
          </w:p>
        </w:tc>
      </w:tr>
      <w:tr w14:paraId="753F7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717D46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S3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EB60E9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 design- and outcome-stratified evidence landscape. Randomized and observational studies are displayed in separate prespecified blocks and are not pooled across designs.</w:t>
            </w:r>
          </w:p>
        </w:tc>
      </w:tr>
      <w:tr w14:paraId="0EC73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4812A5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S4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7A55DA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Descriptive funnel plot for the broadest eligible infection analysis. The plot is exploratory only; formal asymmetry testing was not performed because fewer than 10 studies were available.</w:t>
            </w:r>
          </w:p>
        </w:tc>
      </w:tr>
      <w:tr w14:paraId="0B46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710756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S5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51B604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 traffic-light plot showing result-specific final consensus judgements for randomized trials. WHIST 30-day and 90-day deep-SSI results are assessed separately.</w:t>
            </w:r>
          </w:p>
        </w:tc>
      </w:tr>
      <w:tr w14:paraId="0C26B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EE1EDC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S6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F7E297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 2 weighted summary plot of final consensus domain judgements across the assessed randomized-trial results.</w:t>
            </w:r>
          </w:p>
        </w:tc>
      </w:tr>
      <w:tr w14:paraId="382C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894052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S7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4F4349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 traffic-light plot for the crude observational effects used in the locked meta-analysis.</w:t>
            </w:r>
          </w:p>
        </w:tc>
      </w:tr>
      <w:tr w14:paraId="173A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5542F4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S8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111322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ROBINS-I weighted summary plot of final consensus domain judgements across observational studies.</w:t>
            </w:r>
          </w:p>
        </w:tc>
      </w:tr>
      <w:tr w14:paraId="47392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F6EDA9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S9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B8963C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Model and zero-cell sensitivity analyses comparing the prespecified REML model with alternative estimators, common-effect analysis, small-sample intervals, and sparse-event corrections.</w:t>
            </w:r>
          </w:p>
        </w:tc>
      </w:tr>
      <w:tr w14:paraId="4DECB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73837B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S10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D73825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Leave-one-out influence analysis for eligible multi-study pools. Results quantify influence and do not convert exploratory associations into causal estimates.</w:t>
            </w:r>
          </w:p>
        </w:tc>
      </w:tr>
      <w:tr w14:paraId="5C1A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A6707E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S11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621785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L'Abbé plots by study design. Event risks in ciNPWT and control groups are displayed separately for randomized and observational evidence.</w:t>
            </w:r>
          </w:p>
        </w:tc>
      </w:tr>
      <w:tr w14:paraId="165D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0944BA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S12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47082E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Study-level risk differences for binary incision-related outcomes. Absolute effects are presented as descriptive complements to risk ratios.</w:t>
            </w:r>
          </w:p>
        </w:tc>
      </w:tr>
      <w:tr w14:paraId="7822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964421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 S13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5E4F69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WHIST local wound-healing signs at 30 days. Adjusted odds ratios are shown for five non-mutually-exclusive signs; denominators vary because of missing observations.</w:t>
            </w:r>
          </w:p>
        </w:tc>
      </w:tr>
    </w:tbl>
    <w:p w14:paraId="18CCC0F4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4. Appendix figure legends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  <w:gridCol w:w="5328"/>
      </w:tblGrid>
      <w:tr w14:paraId="71A6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2376" w:type="dxa"/>
            <w:shd w:val="clear" w:color="auto" w:fill="auto"/>
            <w:vAlign w:val="center"/>
          </w:tcPr>
          <w:p w14:paraId="29D6A089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Figure</w:t>
            </w:r>
          </w:p>
        </w:tc>
        <w:tc>
          <w:tcPr>
            <w:tcW w:w="8496" w:type="dxa"/>
            <w:shd w:val="clear" w:color="auto" w:fill="auto"/>
            <w:vAlign w:val="center"/>
          </w:tcPr>
          <w:p w14:paraId="02CC3AA7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Legend</w:t>
            </w:r>
          </w:p>
        </w:tc>
      </w:tr>
      <w:tr w14:paraId="642A1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A4DC83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A1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BCE4B4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RCT deep SSI through 90 days (Pool P01; primary analysis).</w:t>
            </w:r>
          </w:p>
        </w:tc>
      </w:tr>
      <w:tr w14:paraId="51B86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9FE493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A2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BAC43A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RCT deep SSI at 30 days (Pool P02; secondary time point).</w:t>
            </w:r>
          </w:p>
        </w:tc>
      </w:tr>
      <w:tr w14:paraId="57F1C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ADEB71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A3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9D665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the broad longest-available RCT infection analysis (Pool P03; exploratory).</w:t>
            </w:r>
          </w:p>
        </w:tc>
      </w:tr>
      <w:tr w14:paraId="19C68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627333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A4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6B60EB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observational deep SSI at available follow-up (Pool P04; exploratory).</w:t>
            </w:r>
          </w:p>
        </w:tc>
      </w:tr>
      <w:tr w14:paraId="4F96B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03D241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A5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5A1580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broad observational infection at longest available follow-up (Pool P05; exploratory).</w:t>
            </w:r>
          </w:p>
        </w:tc>
      </w:tr>
      <w:tr w14:paraId="49615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D8A40F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A6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172B3C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observational wound dehiscence (Pool P06; exploratory).</w:t>
            </w:r>
          </w:p>
        </w:tc>
      </w:tr>
      <w:tr w14:paraId="5F015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85AEC9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A7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8D26D5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observational reoperation or major wound complication (Pool P07; exploratory).</w:t>
            </w:r>
          </w:p>
        </w:tc>
      </w:tr>
      <w:tr w14:paraId="2D133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7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A382BB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Appendix Figure A8</w:t>
            </w:r>
          </w:p>
        </w:tc>
        <w:tc>
          <w:tcPr>
            <w:tcW w:w="84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A49B69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Individual-study and pooled estimates for observational composite wound complication (Pool P08; exploratory; very low certainty).</w:t>
            </w:r>
          </w:p>
        </w:tc>
      </w:tr>
    </w:tbl>
    <w:p w14:paraId="6443D6B3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5. Tables, data workbooks, and appendices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2"/>
        <w:gridCol w:w="3552"/>
        <w:gridCol w:w="3552"/>
      </w:tblGrid>
      <w:tr w14:paraId="1A80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2520" w:type="dxa"/>
            <w:shd w:val="clear" w:color="auto" w:fill="auto"/>
            <w:vAlign w:val="center"/>
          </w:tcPr>
          <w:p w14:paraId="24DD8F93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Identifier</w:t>
            </w:r>
          </w:p>
        </w:tc>
        <w:tc>
          <w:tcPr>
            <w:tcW w:w="3096" w:type="dxa"/>
            <w:shd w:val="clear" w:color="auto" w:fill="auto"/>
            <w:vAlign w:val="center"/>
          </w:tcPr>
          <w:p w14:paraId="04DA9ECF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Title</w:t>
            </w:r>
          </w:p>
        </w:tc>
        <w:tc>
          <w:tcPr>
            <w:tcW w:w="5256" w:type="dxa"/>
            <w:shd w:val="clear" w:color="auto" w:fill="auto"/>
            <w:vAlign w:val="center"/>
          </w:tcPr>
          <w:p w14:paraId="3C169128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Contents</w:t>
            </w:r>
          </w:p>
        </w:tc>
      </w:tr>
      <w:tr w14:paraId="5912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CB264A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Table S1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57C0E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Extended GRADE evidence profile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9DEB74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Outcome-level domains, downgrade rationales, relative and absolute effects, and final certainty ratings.</w:t>
            </w:r>
          </w:p>
        </w:tc>
      </w:tr>
      <w:tr w14:paraId="2A4FC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C0A3D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Table S2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3C507A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WHIST local wound-healing signs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403BA4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Arm-specific counts/denominators and adjusted odds ratios for five 30-day signs.</w:t>
            </w:r>
          </w:p>
        </w:tc>
      </w:tr>
      <w:tr w14:paraId="4D670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05E25E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Data S1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FBF95A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Study-level binary outcomes and effect estimates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A97E6F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Formula-auditable event counts, continuity corrections, log risk ratios, variances, confidence intervals, pool definitions, and locked pooled results.</w:t>
            </w:r>
          </w:p>
        </w:tc>
      </w:tr>
      <w:tr w14:paraId="46A1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C66A45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Data S2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FA54AA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Final locked ten-study data extraction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2F7245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Study and baseline characteristics, all extracted binary and continuous outcomes, locked inputs/results, risk-of-bias consensus, conflict adjudication, codebook, and version log.</w:t>
            </w:r>
          </w:p>
        </w:tc>
      </w:tr>
      <w:tr w14:paraId="5A8D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B8CA3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S1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4BE696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PRISMA 2020 checklist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420F40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Completed reporting checklist with manuscript locations.</w:t>
            </w:r>
          </w:p>
        </w:tc>
      </w:tr>
      <w:tr w14:paraId="09366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73020D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S2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3BA959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PRISMA 2020 for Abstracts checklist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D93585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Completed abstract reporting checklist.</w:t>
            </w:r>
          </w:p>
        </w:tc>
      </w:tr>
      <w:tr w14:paraId="42B3B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FEC1CB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S3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4F9AA0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methods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2B8A7C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Expanded eligibility, outcome hierarchy, statistical conventions, and sensitivity-analysis methods.</w:t>
            </w:r>
          </w:p>
        </w:tc>
      </w:tr>
      <w:tr w14:paraId="7239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A87192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S4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ABA151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 search strategies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EF2D53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Database-specific strategies from inception through 23 July 2026.</w:t>
            </w:r>
          </w:p>
        </w:tc>
      </w:tr>
      <w:tr w14:paraId="3CA4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E9A7A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S5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7CA014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 screening records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1EF461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Structured record-level screening decisions.</w:t>
            </w:r>
          </w:p>
        </w:tc>
      </w:tr>
      <w:tr w14:paraId="09BB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2714F8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S6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F6B351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Full-text exclusions with reasons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2750DC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Excluded full-text studies and prespecified reasons.</w:t>
            </w:r>
          </w:p>
        </w:tc>
      </w:tr>
      <w:tr w14:paraId="2DDE3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35F86A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S7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07B08E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Final consensus risk-of-bias assessments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00AD44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Two-reviewer domain judgements, disagreements, resolution rationales, and final overall judgements.</w:t>
            </w:r>
          </w:p>
        </w:tc>
      </w:tr>
      <w:tr w14:paraId="2F525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A6A5C7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S8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822F3B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Data, code, and contributor declarations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942EBD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Availability, reproducibility, authorship-role, funding, and competing-interest fields.</w:t>
            </w:r>
          </w:p>
        </w:tc>
      </w:tr>
      <w:tr w14:paraId="7D0B4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DC3FC7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S9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9A0B92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Risk-of-bias domains and decision rules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439887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Operational RoB 2 and ROBINS-I decision framework used for final consensus.</w:t>
            </w:r>
          </w:p>
        </w:tc>
      </w:tr>
      <w:tr w14:paraId="58E3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2CC9E18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Appendix S10</w:t>
            </w:r>
          </w:p>
        </w:tc>
        <w:tc>
          <w:tcPr>
            <w:tcW w:w="309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93BA68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materials index and legends</w:t>
            </w:r>
          </w:p>
        </w:tc>
        <w:tc>
          <w:tcPr>
            <w:tcW w:w="5256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50254B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This document.</w:t>
            </w:r>
          </w:p>
        </w:tc>
      </w:tr>
    </w:tbl>
    <w:p w14:paraId="4E64B4D4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6. Main-text cross-reference map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  <w:gridCol w:w="5328"/>
      </w:tblGrid>
      <w:tr w14:paraId="0D19B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4824" w:type="dxa"/>
            <w:shd w:val="clear" w:color="auto" w:fill="auto"/>
            <w:vAlign w:val="center"/>
          </w:tcPr>
          <w:p w14:paraId="0FF30190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Main-text topic</w:t>
            </w:r>
          </w:p>
        </w:tc>
        <w:tc>
          <w:tcPr>
            <w:tcW w:w="6048" w:type="dxa"/>
            <w:shd w:val="clear" w:color="auto" w:fill="auto"/>
            <w:vAlign w:val="center"/>
          </w:tcPr>
          <w:p w14:paraId="528823D7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Supporting material</w:t>
            </w:r>
          </w:p>
        </w:tc>
      </w:tr>
      <w:tr w14:paraId="3229B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4ECC5D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Search and selection methods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5BED02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Appendices S3–S6</w:t>
            </w:r>
          </w:p>
        </w:tc>
      </w:tr>
      <w:tr w14:paraId="3C7DC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84DB9D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Risk-of-bias methods and final consensus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9ED0D7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Appendices S7 and S9; Supplementary Figures S5–S8</w:t>
            </w:r>
          </w:p>
        </w:tc>
      </w:tr>
      <w:tr w14:paraId="31CFA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5B4C32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Study-level extraction and statistical audit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BB7E93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Data S1 and S2</w:t>
            </w:r>
          </w:p>
        </w:tc>
      </w:tr>
      <w:tr w14:paraId="42548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2EEB49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Exploratory design-stratified evidence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16D83B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Figures S1–S3; Appendix Figures A1–A8</w:t>
            </w:r>
          </w:p>
        </w:tc>
      </w:tr>
      <w:tr w14:paraId="611E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AF0705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Sensitivity and influence analyses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08AAE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Figures S4 and S9–S12</w:t>
            </w:r>
          </w:p>
        </w:tc>
      </w:tr>
      <w:tr w14:paraId="7DD5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4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F85936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GRADE and WHIST local signs</w:t>
            </w:r>
          </w:p>
        </w:tc>
        <w:tc>
          <w:tcPr>
            <w:tcW w:w="60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E306C4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Supplementary Tables S1–S2; Supplementary Figure S13</w:t>
            </w:r>
          </w:p>
        </w:tc>
      </w:tr>
    </w:tbl>
    <w:p w14:paraId="6ECC7E67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7. Submission handling notes</w:t>
      </w:r>
    </w:p>
    <w:p w14:paraId="1CA516AA">
      <w:pPr>
        <w:pStyle w:val="16"/>
        <w:spacing w:after="40"/>
      </w:pPr>
      <w:r>
        <w:t>Use the PDF files as the formal figure submission versions; TIF source files are archived separately.</w:t>
      </w:r>
    </w:p>
    <w:p w14:paraId="120E3D86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Figures 1–4 are the main-text figures. Supplementary Figures S1–S13 and Appendix Figures A1–A8 must remain outside the main figure sequence.</w:t>
      </w:r>
    </w:p>
    <w:p w14:paraId="28ED4D22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Supplementary Figure S4 is a descriptive funnel plot only. Egger and Begg tests were not performed because no eligible synthesis contained at least 10 studies.</w:t>
      </w:r>
    </w:p>
    <w:p w14:paraId="5BC99D7F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All observational figures, tables, and text must retain the labels ‘observational’ and ‘exploratory’; no observational pooled estimate should be presented as causal evidence.</w:t>
      </w:r>
    </w:p>
    <w:p w14:paraId="176B281B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Supplementary Data S1 is the compact formula-auditable effect-estimate workbook; Supplementary Data S2 is the complete ten-study extraction and adjudication workbook.</w:t>
      </w:r>
    </w:p>
    <w:p w14:paraId="5641750A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Supplementary Appendix S7 contains the final consensus judgements; Supplementary Appendix S9 explains the risk-of-bias domains and decision rules.</w:t>
      </w:r>
    </w:p>
    <w:p w14:paraId="35E68910">
      <w:pPr>
        <w:pStyle w:val="16"/>
        <w:spacing w:after="40"/>
      </w:pPr>
      <w:r>
        <w:rPr>
          <w:rFonts w:ascii="Arial" w:hAnsi="Arial" w:eastAsia="Arial" w:cs="Arial"/>
          <w:color w:val="000000"/>
          <w:sz w:val="24"/>
          <w:szCs w:val="24"/>
        </w:rPr>
        <w:t>Independent grouped hematoma data were unavailable. Composite wound outcomes must not be renamed or interpreted as hematoma.</w:t>
      </w:r>
    </w:p>
    <w:p w14:paraId="39833E18">
      <w:pPr>
        <w:pStyle w:val="3"/>
        <w:spacing w:before="200" w:after="80"/>
      </w:pPr>
      <w:r>
        <w:rPr>
          <w:rFonts w:ascii="Arial" w:hAnsi="Arial" w:eastAsia="Arial" w:cs="Arial"/>
          <w:b/>
          <w:color w:val="000000"/>
          <w:sz w:val="24"/>
          <w:szCs w:val="24"/>
        </w:rPr>
        <w:t>8. Locked numerical checkpoints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1"/>
        <w:gridCol w:w="2131"/>
        <w:gridCol w:w="2131"/>
        <w:gridCol w:w="2131"/>
      </w:tblGrid>
      <w:tr w14:paraId="2EC48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cantSplit/>
          <w:tblHeader/>
        </w:trPr>
        <w:tc>
          <w:tcPr>
            <w:tcW w:w="1008" w:type="dxa"/>
            <w:shd w:val="clear" w:color="auto" w:fill="auto"/>
            <w:vAlign w:val="center"/>
          </w:tcPr>
          <w:p w14:paraId="3A0AAD5D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Pool</w:t>
            </w:r>
          </w:p>
        </w:tc>
        <w:tc>
          <w:tcPr>
            <w:tcW w:w="4968" w:type="dxa"/>
            <w:shd w:val="clear" w:color="auto" w:fill="auto"/>
            <w:vAlign w:val="center"/>
          </w:tcPr>
          <w:p w14:paraId="25E45625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Outcome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1E54F8E7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BF6BE22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REML RR (95% CI)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2EEC862"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>I²</w:t>
            </w:r>
          </w:p>
        </w:tc>
      </w:tr>
      <w:tr w14:paraId="7194E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43A1DF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P01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126383C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RCT deep SSI through 90 days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6488FD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8B8DDC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0.64 (0.29–1.44)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EDD45E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62%</w:t>
            </w:r>
          </w:p>
        </w:tc>
      </w:tr>
      <w:tr w14:paraId="675B1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9CD5873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P02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67B21F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RCT deep SSI at 30 days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7D4E49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FCEEE8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0.57 (0.20–1.64)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70B9B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71%</w:t>
            </w:r>
          </w:p>
        </w:tc>
      </w:tr>
      <w:tr w14:paraId="24C2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1715F2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P03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C4521B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Broad RCT infection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B1CB6F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B7160C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0.71 (0.45–1.13)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C3A951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43%</w:t>
            </w:r>
          </w:p>
        </w:tc>
      </w:tr>
      <w:tr w14:paraId="19163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9372ABF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P04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CA581F6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</w:t>
            </w:r>
            <w:bookmarkStart w:id="0" w:name="_GoBack"/>
            <w:bookmarkEnd w:id="0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ervational deep SSI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13E0BD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B73DDA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0.64 (0.13–3.10)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23B5B6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69%</w:t>
            </w:r>
          </w:p>
        </w:tc>
      </w:tr>
      <w:tr w14:paraId="0C54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68C653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P05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C37445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Broad observational infection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3D3C15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7DA80A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0.51 (0.13–2.05)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645CFD6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69%</w:t>
            </w:r>
          </w:p>
        </w:tc>
      </w:tr>
      <w:tr w14:paraId="5141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C18FE69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P06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4846B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Observational wound dehiscence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4EB1E8F5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6100274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1.05 (0.18–6.09)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01D675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68%</w:t>
            </w:r>
          </w:p>
        </w:tc>
      </w:tr>
      <w:tr w14:paraId="028CC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DCEF7DA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P07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0343D94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Observational reoperation/major wound complication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1CF3C7E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7C7D8CE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0.78 (0.20–3.13)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550DE277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54%</w:t>
            </w:r>
          </w:p>
        </w:tc>
      </w:tr>
      <w:tr w14:paraId="4506D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0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16F7F24B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P08</w:t>
            </w:r>
          </w:p>
        </w:tc>
        <w:tc>
          <w:tcPr>
            <w:tcW w:w="496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28011171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Observational composite wound complication</w:t>
            </w:r>
          </w:p>
        </w:tc>
        <w:tc>
          <w:tcPr>
            <w:tcW w:w="648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9C238F0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AD3D5D2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0.24 (0.08–0.75)</w:t>
            </w:r>
          </w:p>
        </w:tc>
        <w:tc>
          <w:tcPr>
            <w:tcW w:w="792" w:type="dxa"/>
            <w:tcBorders>
              <w:top w:val="single" w:color="C9D4DF" w:sz="2" w:space="0"/>
              <w:left w:val="single" w:color="C9D4DF" w:sz="2" w:space="0"/>
              <w:bottom w:val="single" w:color="C9D4DF" w:sz="2" w:space="0"/>
              <w:right w:val="single" w:color="C9D4DF" w:sz="2" w:space="0"/>
            </w:tcBorders>
            <w:shd w:val="clear" w:color="auto" w:fill="auto"/>
            <w:vAlign w:val="top"/>
          </w:tcPr>
          <w:p w14:paraId="3F44367D">
            <w:pPr>
              <w:spacing w:after="0" w:line="240" w:lineRule="auto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1%</w:t>
            </w:r>
          </w:p>
        </w:tc>
      </w:tr>
    </w:tbl>
    <w:p w14:paraId="658B0F4B"/>
    <w:sectPr>
      <w:footerReference r:id="rId5" w:type="default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792" w:bottom="792" w:left="792" w:header="288" w:footer="28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1D63C">
    <w:pPr>
      <w:pStyle w:val="24"/>
      <w:jc w:val="center"/>
    </w:pPr>
    <w:r>
      <w:rPr>
        <w:rFonts w:ascii="Arial" w:hAnsi="Arial" w:eastAsia="Arial" w:cs="Arial"/>
        <w:color w:val="000000"/>
        <w:sz w:val="24"/>
        <w:szCs w:val="24"/>
      </w:rPr>
      <w:t>Supplementary Appendix S10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68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2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4"/>
      <w:szCs w:val="24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4"/>
      <w:szCs w:val="24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4"/>
      <w:szCs w:val="24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rFonts w:ascii="Arial" w:hAnsi="Arial" w:eastAsia="Arial" w:cs="Arial"/>
      <w:color w:val="000000"/>
      <w:sz w:val="24"/>
      <w:szCs w:val="24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Arial" w:hAnsi="Arial" w:eastAsia="Arial" w:cs="Arial"/>
      <w:b/>
      <w:bCs/>
      <w:color w:val="000000"/>
      <w:sz w:val="24"/>
      <w:szCs w:val="24"/>
    </w:rPr>
  </w:style>
  <w:style w:type="character" w:styleId="134">
    <w:name w:val="Emphasis"/>
    <w:basedOn w:val="132"/>
    <w:qFormat/>
    <w:uiPriority w:val="20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39">
    <w:name w:val="Heading 2 Char"/>
    <w:basedOn w:val="132"/>
    <w:link w:val="4"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0">
    <w:name w:val="Heading 3 Char"/>
    <w:basedOn w:val="132"/>
    <w:link w:val="5"/>
    <w:qFormat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1">
    <w:name w:val="Title Char"/>
    <w:basedOn w:val="132"/>
    <w:link w:val="31"/>
    <w:qFormat/>
    <w:uiPriority w:val="10"/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character" w:customStyle="1" w:styleId="142">
    <w:name w:val="Subtitle Char"/>
    <w:basedOn w:val="132"/>
    <w:link w:val="26"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rFonts w:ascii="Arial" w:hAnsi="Arial" w:eastAsia="Arial" w:cs="Arial"/>
      <w:color w:val="000000"/>
      <w:sz w:val="24"/>
      <w:szCs w:val="24"/>
    </w:rPr>
  </w:style>
  <w:style w:type="character" w:customStyle="1" w:styleId="147">
    <w:name w:val="Macro Text Char"/>
    <w:basedOn w:val="132"/>
    <w:link w:val="2"/>
    <w:uiPriority w:val="99"/>
    <w:rPr>
      <w:rFonts w:ascii="Arial" w:hAnsi="Arial" w:eastAsia="Arial" w:cs="Arial"/>
      <w:color w:val="000000"/>
      <w:sz w:val="24"/>
      <w:szCs w:val="24"/>
    </w:rPr>
  </w:style>
  <w:style w:type="paragraph" w:styleId="148">
    <w:name w:val="Quote"/>
    <w:basedOn w:val="1"/>
    <w:next w:val="1"/>
    <w:link w:val="149"/>
    <w:qFormat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49">
    <w:name w:val="Quote Char"/>
    <w:basedOn w:val="132"/>
    <w:link w:val="148"/>
    <w:qFormat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3">
    <w:name w:val="Heading 7 Char"/>
    <w:basedOn w:val="132"/>
    <w:link w:val="9"/>
    <w:semiHidden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7">
    <w:name w:val="Intense Quote Char"/>
    <w:basedOn w:val="132"/>
    <w:link w:val="156"/>
    <w:qFormat/>
    <w:uiPriority w:val="30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8">
    <w:name w:val="Subtle Emphasis"/>
    <w:basedOn w:val="132"/>
    <w:qFormat/>
    <w:uiPriority w:val="1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9">
    <w:name w:val="Intense Emphasis"/>
    <w:basedOn w:val="132"/>
    <w:qFormat/>
    <w:uiPriority w:val="21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60">
    <w:name w:val="Subtle Reference"/>
    <w:basedOn w:val="132"/>
    <w:qFormat/>
    <w:uiPriority w:val="31"/>
    <w:rPr>
      <w:rFonts w:ascii="Arial" w:hAnsi="Arial" w:eastAsia="Arial" w:cs="Arial"/>
      <w:smallCaps/>
      <w:color w:val="000000"/>
      <w:sz w:val="24"/>
      <w:szCs w:val="24"/>
      <w:u w:val="single"/>
    </w:rPr>
  </w:style>
  <w:style w:type="character" w:customStyle="1" w:styleId="161">
    <w:name w:val="Intense Reference"/>
    <w:basedOn w:val="132"/>
    <w:qFormat/>
    <w:uiPriority w:val="32"/>
    <w:rPr>
      <w:rFonts w:ascii="Arial" w:hAnsi="Arial" w:eastAsia="Arial" w:cs="Arial"/>
      <w:b/>
      <w:bCs/>
      <w:smallCaps/>
      <w:color w:val="000000"/>
      <w:spacing w:val="5"/>
      <w:sz w:val="24"/>
      <w:szCs w:val="24"/>
      <w:u w:val="single"/>
    </w:rPr>
  </w:style>
  <w:style w:type="character" w:customStyle="1" w:styleId="162">
    <w:name w:val="Book Title"/>
    <w:basedOn w:val="132"/>
    <w:qFormat/>
    <w:uiPriority w:val="33"/>
    <w:rPr>
      <w:rFonts w:ascii="Arial" w:hAnsi="Arial" w:eastAsia="Arial" w:cs="Arial"/>
      <w:b/>
      <w:bCs/>
      <w:smallCaps/>
      <w:color w:val="000000"/>
      <w:spacing w:val="5"/>
      <w:sz w:val="24"/>
      <w:szCs w:val="24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1298</Words>
  <Characters>8933</Characters>
  <Lines>0</Lines>
  <Paragraphs>0</Paragraphs>
  <TotalTime>0</TotalTime>
  <ScaleCrop>false</ScaleCrop>
  <LinksUpToDate>false</LinksUpToDate>
  <CharactersWithSpaces>10028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WPS_1695207348</cp:lastModifiedBy>
  <dcterms:created xsi:type="dcterms:W3CDTF">2013-12-23T23:15:00Z</dcterms:created>
  <dcterms:modified xsi:type="dcterms:W3CDTF">2026-09-07T13:41:15Z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eyJoZGlkIjoiMWMzOTVlMGM3YmYzMzQzZTFjMDE5ZDM4YTgyOGI4YmMiLCJ1c2VySWQiOiIxNTMzNjY5Mzk2In0=</vt:lpwstr>
  </property>
  <property fmtid="{D5CDD505-2E9C-101B-9397-08002B2CF9AE}" pid="3" name="KSOProductBuildVer">
    <vt:lpwstr>2052-12.1.0.28505</vt:lpwstr>
  </property>
  <property fmtid="{D5CDD505-2E9C-101B-9397-08002B2CF9AE}" pid="4" name="ICV">
    <vt:lpwstr>5F68C1DCF381456B852BD3E1002F8A2D_12</vt:lpwstr>
  </property>
</Properties>
</file>