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5CF62">
      <w:pPr>
        <w:spacing w:before="240" w:after="120"/>
      </w:pPr>
      <w:r>
        <w:rPr>
          <w:rFonts w:ascii="Arial" w:hAnsi="Arial" w:eastAsia="Arial" w:cs="Arial"/>
          <w:b/>
          <w:i w:val="0"/>
          <w:color w:val="000000"/>
          <w:sz w:val="24"/>
          <w:szCs w:val="24"/>
        </w:rPr>
        <w:t>Supplementary Methods</w:t>
      </w:r>
    </w:p>
    <w:p w14:paraId="5AF38927">
      <w:pPr>
        <w:spacing w:after="240"/>
      </w:pPr>
      <w:r>
        <w:rPr>
          <w:rFonts w:ascii="Arial" w:hAnsi="Arial" w:eastAsia="Arial" w:cs="Arial"/>
          <w:b w:val="0"/>
          <w:i w:val="0"/>
          <w:color w:val="000000"/>
          <w:sz w:val="24"/>
          <w:szCs w:val="24"/>
        </w:rPr>
        <w:t>Detailed methods supporting the systemati</w:t>
      </w:r>
      <w:bookmarkStart w:id="0" w:name="_GoBack"/>
      <w:bookmarkEnd w:id="0"/>
      <w:r>
        <w:rPr>
          <w:rFonts w:ascii="Arial" w:hAnsi="Arial" w:eastAsia="Arial" w:cs="Arial"/>
          <w:b w:val="0"/>
          <w:i w:val="0"/>
          <w:color w:val="000000"/>
          <w:sz w:val="24"/>
          <w:szCs w:val="24"/>
        </w:rPr>
        <w:t>c review and meta-analysis</w:t>
      </w:r>
    </w:p>
    <w:tbl>
      <w:tblPr>
        <w:tblStyle w:val="32"/>
        <w:tblW w:w="9360" w:type="dxa"/>
        <w:tblInd w:w="120" w:type="dxa"/>
        <w:tblLayout w:type="fixed"/>
        <w:tblCellMar>
          <w:top w:w="0" w:type="dxa"/>
          <w:left w:w="108" w:type="dxa"/>
          <w:bottom w:w="0" w:type="dxa"/>
          <w:right w:w="108" w:type="dxa"/>
        </w:tblCellMar>
      </w:tblPr>
      <w:tblGrid>
        <w:gridCol w:w="1800"/>
        <w:gridCol w:w="7560"/>
      </w:tblGrid>
      <w:tr w14:paraId="0EF032AE">
        <w:tblPrEx>
          <w:tblCellMar>
            <w:top w:w="0" w:type="dxa"/>
            <w:left w:w="108" w:type="dxa"/>
            <w:bottom w:w="0" w:type="dxa"/>
            <w:right w:w="108" w:type="dxa"/>
          </w:tblCellMar>
        </w:tblPrEx>
        <w:trPr>
          <w:cantSplit/>
          <w:cantSplit/>
          <w:tblHeader/>
        </w:trPr>
        <w:tc>
          <w:tcPr>
            <w:tcW w:w="1800" w:type="dxa"/>
            <w:shd w:val="clear" w:color="auto" w:fill="auto"/>
            <w:tcMar>
              <w:top w:w="80" w:type="dxa"/>
              <w:left w:w="120" w:type="dxa"/>
              <w:bottom w:w="80" w:type="dxa"/>
              <w:right w:w="120" w:type="dxa"/>
            </w:tcMar>
            <w:vAlign w:val="center"/>
          </w:tcPr>
          <w:p w14:paraId="0C5D4314">
            <w:pPr>
              <w:spacing w:after="0"/>
            </w:pPr>
            <w:r>
              <w:rPr>
                <w:rFonts w:ascii="Arial" w:hAnsi="Arial" w:eastAsia="Arial" w:cs="Arial"/>
                <w:b/>
                <w:i w:val="0"/>
                <w:color w:val="000000"/>
                <w:sz w:val="24"/>
                <w:szCs w:val="24"/>
              </w:rPr>
              <w:t>Review</w:t>
            </w:r>
          </w:p>
        </w:tc>
        <w:tc>
          <w:tcPr>
            <w:tcW w:w="7560" w:type="dxa"/>
            <w:tcMar>
              <w:top w:w="80" w:type="dxa"/>
              <w:left w:w="120" w:type="dxa"/>
              <w:bottom w:w="80" w:type="dxa"/>
              <w:right w:w="120" w:type="dxa"/>
            </w:tcMar>
            <w:vAlign w:val="center"/>
          </w:tcPr>
          <w:p w14:paraId="460C62F6">
            <w:pPr>
              <w:spacing w:after="0"/>
            </w:pPr>
            <w:r>
              <w:rPr>
                <w:rFonts w:ascii="Arial" w:hAnsi="Arial" w:eastAsia="Arial" w:cs="Arial"/>
                <w:b w:val="0"/>
                <w:i w:val="0"/>
                <w:color w:val="000000"/>
                <w:sz w:val="24"/>
                <w:szCs w:val="24"/>
              </w:rPr>
              <w:t>Closed-Incision Negative-Pressure Wound Therapy for Preventing Surgical-Site Infection After Pelvic and Lower-Extremity Fracture Surgery: A Systematic Review and Meta-analysis</w:t>
            </w:r>
          </w:p>
        </w:tc>
      </w:tr>
      <w:tr w14:paraId="69FB476C">
        <w:tblPrEx>
          <w:tblCellMar>
            <w:top w:w="0" w:type="dxa"/>
            <w:left w:w="108" w:type="dxa"/>
            <w:bottom w:w="0" w:type="dxa"/>
            <w:right w:w="108" w:type="dxa"/>
          </w:tblCellMar>
        </w:tblPrEx>
        <w:trPr>
          <w:cantSplit/>
          <w:cantSplit/>
        </w:trPr>
        <w:tc>
          <w:tcPr>
            <w:tcW w:w="1800" w:type="dxa"/>
            <w:shd w:val="clear" w:color="auto" w:fill="auto"/>
            <w:tcMar>
              <w:top w:w="80" w:type="dxa"/>
              <w:left w:w="120" w:type="dxa"/>
              <w:bottom w:w="80" w:type="dxa"/>
              <w:right w:w="120" w:type="dxa"/>
            </w:tcMar>
            <w:vAlign w:val="center"/>
          </w:tcPr>
          <w:p w14:paraId="7F53ED4A">
            <w:pPr>
              <w:spacing w:after="0"/>
            </w:pPr>
            <w:r>
              <w:rPr>
                <w:rFonts w:ascii="Arial" w:hAnsi="Arial" w:eastAsia="Arial" w:cs="Arial"/>
                <w:b/>
                <w:i w:val="0"/>
                <w:color w:val="000000"/>
                <w:sz w:val="24"/>
                <w:szCs w:val="24"/>
              </w:rPr>
              <w:t>Version</w:t>
            </w:r>
          </w:p>
        </w:tc>
        <w:tc>
          <w:tcPr>
            <w:tcW w:w="7560" w:type="dxa"/>
            <w:tcMar>
              <w:top w:w="80" w:type="dxa"/>
              <w:left w:w="120" w:type="dxa"/>
              <w:bottom w:w="80" w:type="dxa"/>
              <w:right w:w="120" w:type="dxa"/>
            </w:tcMar>
            <w:vAlign w:val="center"/>
          </w:tcPr>
          <w:p w14:paraId="524BDE35">
            <w:pPr>
              <w:spacing w:after="0"/>
            </w:pPr>
            <w:r>
              <w:rPr>
                <w:rFonts w:ascii="Arial" w:hAnsi="Arial" w:eastAsia="Arial" w:cs="Arial"/>
                <w:b w:val="0"/>
                <w:i w:val="0"/>
                <w:color w:val="000000"/>
                <w:sz w:val="24"/>
                <w:szCs w:val="24"/>
              </w:rPr>
              <w:t>Prepared 15 August 2026 | statistical lock 10 August 2026 | RoB consensus lock 13 August 2026</w:t>
            </w:r>
          </w:p>
        </w:tc>
      </w:tr>
      <w:tr w14:paraId="70A8FCC6">
        <w:tblPrEx>
          <w:tblCellMar>
            <w:top w:w="0" w:type="dxa"/>
            <w:left w:w="108" w:type="dxa"/>
            <w:bottom w:w="0" w:type="dxa"/>
            <w:right w:w="108" w:type="dxa"/>
          </w:tblCellMar>
        </w:tblPrEx>
        <w:trPr>
          <w:cantSplit/>
          <w:cantSplit/>
        </w:trPr>
        <w:tc>
          <w:tcPr>
            <w:tcW w:w="1800" w:type="dxa"/>
            <w:shd w:val="clear" w:color="auto" w:fill="auto"/>
            <w:tcMar>
              <w:top w:w="80" w:type="dxa"/>
              <w:left w:w="120" w:type="dxa"/>
              <w:bottom w:w="80" w:type="dxa"/>
              <w:right w:w="120" w:type="dxa"/>
            </w:tcMar>
            <w:vAlign w:val="center"/>
          </w:tcPr>
          <w:p w14:paraId="651DD5E3">
            <w:pPr>
              <w:spacing w:after="0"/>
            </w:pPr>
            <w:r>
              <w:rPr>
                <w:rFonts w:ascii="Arial" w:hAnsi="Arial" w:eastAsia="Arial" w:cs="Arial"/>
                <w:b/>
                <w:i w:val="0"/>
                <w:color w:val="000000"/>
                <w:sz w:val="24"/>
                <w:szCs w:val="24"/>
              </w:rPr>
              <w:t>Status</w:t>
            </w:r>
          </w:p>
        </w:tc>
        <w:tc>
          <w:tcPr>
            <w:tcW w:w="7560" w:type="dxa"/>
            <w:tcMar>
              <w:top w:w="80" w:type="dxa"/>
              <w:left w:w="120" w:type="dxa"/>
              <w:bottom w:w="80" w:type="dxa"/>
              <w:right w:w="120" w:type="dxa"/>
            </w:tcMar>
            <w:vAlign w:val="center"/>
          </w:tcPr>
          <w:p w14:paraId="5A0C068E">
            <w:pPr>
              <w:spacing w:after="0"/>
            </w:pPr>
            <w:r>
              <w:rPr>
                <w:rFonts w:ascii="Arial" w:hAnsi="Arial" w:eastAsia="Arial" w:cs="Arial"/>
                <w:color w:val="000000"/>
                <w:sz w:val="24"/>
                <w:szCs w:val="24"/>
              </w:rPr>
              <w:t>Synchronized with the 15 August 2026 manuscript, statistical lock and final two-reviewer risk-of-bias consensus</w:t>
            </w:r>
          </w:p>
        </w:tc>
      </w:tr>
    </w:tbl>
    <w:p w14:paraId="69890A7C"/>
    <w:tbl>
      <w:tblPr>
        <w:tblStyle w:val="32"/>
        <w:tblW w:w="9360" w:type="dxa"/>
        <w:tblInd w:w="120" w:type="dxa"/>
        <w:shd w:val="clear" w:color="auto" w:fill="auto"/>
        <w:tblLayout w:type="fixed"/>
        <w:tblCellMar>
          <w:top w:w="0" w:type="dxa"/>
          <w:left w:w="108" w:type="dxa"/>
          <w:bottom w:w="0" w:type="dxa"/>
          <w:right w:w="108" w:type="dxa"/>
        </w:tblCellMar>
      </w:tblPr>
      <w:tblGrid>
        <w:gridCol w:w="9360"/>
      </w:tblGrid>
      <w:tr w14:paraId="16AECE9D">
        <w:tblPrEx>
          <w:shd w:val="clear" w:color="auto" w:fill="auto"/>
        </w:tblPrEx>
        <w:trPr>
          <w:cantSplit/>
          <w:cantSplit/>
          <w:tblHeader/>
        </w:trPr>
        <w:tc>
          <w:tcPr>
            <w:tcW w:w="9360" w:type="dxa"/>
            <w:shd w:val="clear" w:color="auto" w:fill="auto"/>
            <w:tcMar>
              <w:top w:w="80" w:type="dxa"/>
              <w:left w:w="120" w:type="dxa"/>
              <w:bottom w:w="80" w:type="dxa"/>
              <w:right w:w="120" w:type="dxa"/>
            </w:tcMar>
            <w:vAlign w:val="center"/>
          </w:tcPr>
          <w:p w14:paraId="6836DA6A">
            <w:pPr>
              <w:spacing w:after="0"/>
            </w:pPr>
            <w:r>
              <w:rPr>
                <w:rFonts w:ascii="Arial" w:hAnsi="Arial" w:eastAsia="Arial" w:cs="Arial"/>
                <w:b/>
                <w:color w:val="000000"/>
                <w:sz w:val="24"/>
                <w:szCs w:val="24"/>
              </w:rPr>
              <w:t>Risk of bias was assessed independently by two reviewers. The review was not prospectively registered; a subsequent PROSPERO record was created (CRD420261496039).</w:t>
            </w:r>
            <w:r>
              <w:rPr>
                <w:rFonts w:ascii="Arial" w:hAnsi="Arial" w:eastAsia="Arial" w:cs="Arial"/>
                <w:color w:val="000000"/>
                <w:sz w:val="24"/>
                <w:szCs w:val="24"/>
              </w:rPr>
            </w:r>
          </w:p>
        </w:tc>
      </w:tr>
    </w:tbl>
    <w:p w14:paraId="31B314DD"/>
    <w:p w14:paraId="37B02658">
      <w:pPr>
        <w:pStyle w:val="3"/>
      </w:pPr>
      <w:r>
        <w:rPr>
          <w:rFonts w:ascii="Arial" w:hAnsi="Arial" w:eastAsia="Arial" w:cs="Arial"/>
          <w:color w:val="000000"/>
          <w:sz w:val="24"/>
          <w:szCs w:val="24"/>
        </w:rPr>
        <w:t>1. Reporting framework, objective and protocol</w:t>
      </w:r>
    </w:p>
    <w:p w14:paraId="6FFA13DD">
      <w:pPr>
        <w:spacing w:after="120" w:line="300" w:lineRule="auto"/>
      </w:pPr>
      <w:r>
        <w:rPr>
          <w:rFonts w:ascii="Arial" w:hAnsi="Arial" w:eastAsia="Arial" w:cs="Arial"/>
          <w:b w:val="0"/>
          <w:i w:val="0"/>
          <w:color w:val="000000"/>
          <w:sz w:val="24"/>
          <w:szCs w:val="24"/>
        </w:rPr>
        <w:t>This systematic review and meta-analysis was prepared in accordance with PRISMA 2020. The objective was to evaluate the comparative effects and harms of prophylactic closed-incision negative pressure wound therapy (ciNPWT) versus concurrent non-negative-pressure postoperative dressings after operative treatment of pelvic and lower-extremity fractures.</w:t>
      </w:r>
    </w:p>
    <w:p w14:paraId="7E45D405">
      <w:pPr>
        <w:spacing w:after="120" w:line="300" w:lineRule="auto"/>
      </w:pPr>
      <w:r>
        <w:rPr>
          <w:rFonts w:ascii="Arial" w:hAnsi="Arial" w:eastAsia="Arial" w:cs="Arial"/>
          <w:color w:val="000000"/>
          <w:sz w:val="24"/>
          <w:szCs w:val="24"/>
        </w:rPr>
        <w:t>Registration and protocol. The review was not prospectively registered; a subsequent PROSPERO record was created (CRD420261496039). Eligibility criteria, the outcome hierarchy and analytic conventions were specified in an internal project protocol before quantitative synthesis. A PROSPERO record is cited in the main manuscript; no separate public protocol or dated amendment log was identified in this package.</w:t>
      </w:r>
    </w:p>
    <w:p w14:paraId="61C75F8D">
      <w:pPr>
        <w:pStyle w:val="3"/>
      </w:pPr>
      <w:r>
        <w:rPr>
          <w:rFonts w:ascii="Arial" w:hAnsi="Arial" w:eastAsia="Arial" w:cs="Arial"/>
          <w:color w:val="000000"/>
          <w:sz w:val="24"/>
          <w:szCs w:val="24"/>
        </w:rPr>
        <w:t>2. Eligibility criteria</w:t>
      </w:r>
    </w:p>
    <w:p w14:paraId="06D51853">
      <w:pPr>
        <w:spacing w:after="120" w:line="300" w:lineRule="auto"/>
      </w:pPr>
      <w:r>
        <w:rPr>
          <w:rFonts w:ascii="Arial" w:hAnsi="Arial" w:eastAsia="Arial" w:cs="Arial"/>
          <w:b/>
          <w:i w:val="0"/>
          <w:color w:val="000000"/>
          <w:sz w:val="24"/>
          <w:szCs w:val="24"/>
        </w:rPr>
        <w:t>Population.</w:t>
      </w:r>
      <w:r>
        <w:rPr>
          <w:rFonts w:ascii="Arial" w:hAnsi="Arial" w:eastAsia="Arial" w:cs="Arial"/>
          <w:b w:val="0"/>
          <w:i w:val="0"/>
          <w:color w:val="000000"/>
          <w:sz w:val="24"/>
          <w:szCs w:val="24"/>
        </w:rPr>
        <w:t xml:space="preserve"> Patients of any age or sex undergoing surgery for pelvic ring, acetabular or lower-extremity fractures were eligible. Traumatic, fragility, pathological, periprosthetic, open and closed fractures were eligible. Arthroplasty was eligible only when performed because of an eligible fracture.</w:t>
      </w:r>
    </w:p>
    <w:p w14:paraId="07CEE881">
      <w:pPr>
        <w:spacing w:after="120" w:line="300" w:lineRule="auto"/>
      </w:pPr>
      <w:r>
        <w:rPr>
          <w:rFonts w:ascii="Arial" w:hAnsi="Arial" w:eastAsia="Arial" w:cs="Arial"/>
          <w:b/>
          <w:i w:val="0"/>
          <w:color w:val="000000"/>
          <w:sz w:val="24"/>
          <w:szCs w:val="24"/>
        </w:rPr>
        <w:t>Intervention.</w:t>
      </w:r>
      <w:r>
        <w:rPr>
          <w:rFonts w:ascii="Arial" w:hAnsi="Arial" w:eastAsia="Arial" w:cs="Arial"/>
          <w:b w:val="0"/>
          <w:i w:val="0"/>
          <w:color w:val="000000"/>
          <w:sz w:val="24"/>
          <w:szCs w:val="24"/>
        </w:rPr>
        <w:t xml:space="preserve"> Prophylactic ciNPWT/iNPWT applied after primary or definitive complete closure of the surgical incision was eligible, regardless of device, brand, pressure, duration or dressing-change schedule. For open fractures, negative-pressure therapy had to be applied over the definitively closed incision rather than an open wound.</w:t>
      </w:r>
    </w:p>
    <w:p w14:paraId="1F388E10">
      <w:pPr>
        <w:spacing w:after="120" w:line="300" w:lineRule="auto"/>
      </w:pPr>
      <w:r>
        <w:rPr>
          <w:rFonts w:ascii="Arial" w:hAnsi="Arial" w:eastAsia="Arial" w:cs="Arial"/>
          <w:b/>
          <w:i w:val="0"/>
          <w:color w:val="000000"/>
          <w:sz w:val="24"/>
          <w:szCs w:val="24"/>
        </w:rPr>
        <w:t>Comparator.</w:t>
      </w:r>
      <w:r>
        <w:rPr>
          <w:rFonts w:ascii="Arial" w:hAnsi="Arial" w:eastAsia="Arial" w:cs="Arial"/>
          <w:b w:val="0"/>
          <w:i w:val="0"/>
          <w:color w:val="000000"/>
          <w:sz w:val="24"/>
          <w:szCs w:val="24"/>
        </w:rPr>
        <w:t xml:space="preserve"> Standard postoperative dressings or another concurrent closed-incision management strategy without negative pressure were eligible. Studies using only non-concurrent historical controls were excluded.</w:t>
      </w:r>
    </w:p>
    <w:p w14:paraId="642C3B71">
      <w:pPr>
        <w:spacing w:after="120" w:line="300" w:lineRule="auto"/>
      </w:pPr>
      <w:r>
        <w:rPr>
          <w:rFonts w:ascii="Arial" w:hAnsi="Arial" w:eastAsia="Arial" w:cs="Arial"/>
          <w:b/>
          <w:i w:val="0"/>
          <w:color w:val="000000"/>
          <w:sz w:val="24"/>
          <w:szCs w:val="24"/>
        </w:rPr>
        <w:t>Study designs.</w:t>
      </w:r>
      <w:r>
        <w:rPr>
          <w:rFonts w:ascii="Arial" w:hAnsi="Arial" w:eastAsia="Arial" w:cs="Arial"/>
          <w:b w:val="0"/>
          <w:i w:val="0"/>
          <w:color w:val="000000"/>
          <w:sz w:val="24"/>
          <w:szCs w:val="24"/>
        </w:rPr>
        <w:t xml:space="preserve"> Randomized and quasi-randomized trials, prospective or retrospective comparative cohorts and case-control studies with concurrent comparators were eligible. Case reports, uncontrolled case series, reviews, guidelines, expert opinion, animal/cadaver studies and protocols without results were ineligible as independent included studies.</w:t>
      </w:r>
    </w:p>
    <w:p w14:paraId="4151EBFD">
      <w:pPr>
        <w:spacing w:after="120" w:line="300" w:lineRule="auto"/>
      </w:pPr>
      <w:r>
        <w:rPr>
          <w:rFonts w:ascii="Arial" w:hAnsi="Arial" w:eastAsia="Arial" w:cs="Arial"/>
          <w:b/>
          <w:i w:val="0"/>
          <w:color w:val="000000"/>
          <w:sz w:val="24"/>
          <w:szCs w:val="24"/>
        </w:rPr>
        <w:t>Outcomes. Studies had to assess at least one incision-related outcome, including surgical-site infection (SSI), hematoma, seroma, dehiscence, persistent drainage, blistering, skin necrosis, debridement, reoperation or readmission. The absence of an outcome term from a title or abstract was not used as a screening exclusion.</w:t>
      </w:r>
      <w:r>
        <w:rPr>
          <w:rFonts w:ascii="Arial" w:hAnsi="Arial" w:eastAsia="Arial" w:cs="Arial"/>
          <w:b w:val="0"/>
          <w:i w:val="0"/>
          <w:color w:val="000000"/>
          <w:sz w:val="24"/>
          <w:szCs w:val="24"/>
        </w:rPr>
      </w:r>
    </w:p>
    <w:p w14:paraId="6166C841">
      <w:pPr>
        <w:spacing w:after="120" w:line="300" w:lineRule="auto"/>
      </w:pPr>
      <w:r>
        <w:rPr>
          <w:rFonts w:ascii="Arial" w:hAnsi="Arial" w:eastAsia="Arial" w:cs="Arial"/>
          <w:b/>
          <w:i w:val="0"/>
          <w:color w:val="000000"/>
          <w:sz w:val="24"/>
          <w:szCs w:val="24"/>
        </w:rPr>
        <w:t>Mixed populations and multiple reports.</w:t>
      </w:r>
      <w:r>
        <w:rPr>
          <w:rFonts w:ascii="Arial" w:hAnsi="Arial" w:eastAsia="Arial" w:cs="Arial"/>
          <w:b w:val="0"/>
          <w:i w:val="0"/>
          <w:color w:val="000000"/>
          <w:sz w:val="24"/>
          <w:szCs w:val="24"/>
        </w:rPr>
        <w:t xml:space="preserve"> Mixed surgical populations were eligible only when data for pelvic/lower-extremity fracture surgery could be separated. For multiple reports from the same underlying study, the most complete report was treated as the primary report and other reports as companion publications.</w:t>
      </w:r>
    </w:p>
    <w:p w14:paraId="766360D9">
      <w:pPr>
        <w:pStyle w:val="3"/>
      </w:pPr>
      <w:r>
        <w:rPr>
          <w:rFonts w:ascii="Arial" w:hAnsi="Arial" w:eastAsia="Arial" w:cs="Arial"/>
          <w:color w:val="000000"/>
          <w:sz w:val="24"/>
          <w:szCs w:val="24"/>
        </w:rPr>
        <w:t>3. Information sources and search</w:t>
      </w:r>
    </w:p>
    <w:p w14:paraId="0454CA29">
      <w:pPr>
        <w:spacing w:after="120" w:line="300" w:lineRule="auto"/>
      </w:pPr>
      <w:r>
        <w:rPr>
          <w:rFonts w:ascii="Arial" w:hAnsi="Arial" w:eastAsia="Arial" w:cs="Arial"/>
          <w:b w:val="0"/>
          <w:i w:val="0"/>
          <w:color w:val="000000"/>
          <w:sz w:val="24"/>
          <w:szCs w:val="24"/>
        </w:rPr>
        <w:t>PubMed, Web of Science Core Collection, Scopus, Embase.com and the Cochrane Central Register of Controlled Trials (CENTRAL) were searched from database inception to 23 July 2026. The primary strategy combined fracture/population concepts with negative-pressure wound therapy concepts; outcome terms were retained as an optional precision module and were not required for eligibility. Reference lists and trial-registry or companion materials were also checked.</w:t>
      </w:r>
    </w:p>
    <w:p w14:paraId="0484A730">
      <w:pPr>
        <w:spacing w:after="120" w:line="300" w:lineRule="auto"/>
      </w:pPr>
      <w:r>
        <w:rPr>
          <w:rFonts w:ascii="Arial" w:hAnsi="Arial" w:eastAsia="Arial" w:cs="Arial"/>
          <w:b w:val="0"/>
          <w:i w:val="0"/>
          <w:color w:val="000000"/>
          <w:sz w:val="24"/>
          <w:szCs w:val="24"/>
        </w:rPr>
        <w:t>The PRISMA flow contains 2,860 records identified by database searching. Complete database-specific search syntax and hit counts are supplied in the separate search-strategy file.</w:t>
      </w:r>
    </w:p>
    <w:p w14:paraId="1374CD38">
      <w:pPr>
        <w:pStyle w:val="3"/>
      </w:pPr>
      <w:r>
        <w:rPr>
          <w:rFonts w:ascii="Arial" w:hAnsi="Arial" w:eastAsia="Arial" w:cs="Arial"/>
          <w:color w:val="000000"/>
          <w:sz w:val="24"/>
          <w:szCs w:val="24"/>
        </w:rPr>
        <w:t>4. Study selection</w:t>
      </w:r>
    </w:p>
    <w:p w14:paraId="1D4FDCB4">
      <w:pPr>
        <w:spacing w:after="120" w:line="300" w:lineRule="auto"/>
      </w:pPr>
      <w:r>
        <w:rPr>
          <w:rFonts w:ascii="Arial" w:hAnsi="Arial" w:eastAsia="Arial" w:cs="Arial"/>
          <w:b w:val="0"/>
          <w:i w:val="0"/>
          <w:color w:val="000000"/>
          <w:sz w:val="24"/>
          <w:szCs w:val="24"/>
        </w:rPr>
        <w:t>Records were deduplicated before title/abstract screening. Of 2,860 identified records, 1,530 duplicates were removed and 1,330 records were screened. Twelve reports were assessed in full text; none was unavailable. Two reports were excluded because they used non-concurrent historical controls, leaving 10 included studies.</w:t>
      </w:r>
    </w:p>
    <w:p w14:paraId="50083C51">
      <w:pPr>
        <w:spacing w:after="120" w:line="300" w:lineRule="auto"/>
      </w:pPr>
      <w:r>
        <w:rPr>
          <w:rFonts w:ascii="Arial" w:hAnsi="Arial" w:eastAsia="Arial" w:cs="Arial"/>
          <w:color w:val="000000"/>
          <w:sz w:val="24"/>
          <w:szCs w:val="24"/>
        </w:rPr>
        <w:t>Reviewer workflow. Two reviewers independently screened every title and abstract and independently assessed all 12 candidate studies in full text. Disagreements at either stage were resolved through discussion and consensus. No automation tool was used to make eligibility decisions; deduplication was completed before manual screening. Screening decisions and full-text exclusion reasons were retained in the structured audit workbook.</w:t>
      </w:r>
    </w:p>
    <w:p w14:paraId="0128F821">
      <w:pPr>
        <w:pStyle w:val="3"/>
      </w:pPr>
      <w:r>
        <w:rPr>
          <w:rFonts w:ascii="Arial" w:hAnsi="Arial" w:eastAsia="Arial" w:cs="Arial"/>
          <w:color w:val="000000"/>
          <w:sz w:val="24"/>
          <w:szCs w:val="24"/>
        </w:rPr>
        <w:t>5. Data collection and other variables</w:t>
      </w:r>
    </w:p>
    <w:p w14:paraId="69C6FC59">
      <w:pPr>
        <w:spacing w:after="120" w:line="300" w:lineRule="auto"/>
      </w:pPr>
      <w:r>
        <w:rPr>
          <w:rFonts w:ascii="Arial" w:hAnsi="Arial" w:eastAsia="Arial" w:cs="Arial"/>
          <w:b w:val="0"/>
          <w:i w:val="0"/>
          <w:color w:val="000000"/>
          <w:sz w:val="24"/>
          <w:szCs w:val="24"/>
        </w:rPr>
        <w:t>A standardized extraction workbook was used to collect study identity, country, setting, study design, recruitment period, sample size and analysis unit; fracture type and open/closed status; surgical procedure; ciNPWT device, pressure and treatment duration; comparator dressing; follow-up; outcome definitions; group-specific event counts or continuous summary data; adjusted estimates; funding and reported conflicts; and notes on internal inconsistencies.</w:t>
      </w:r>
    </w:p>
    <w:p w14:paraId="232C2AE3">
      <w:pPr>
        <w:spacing w:after="120" w:line="300" w:lineRule="auto"/>
      </w:pPr>
      <w:r>
        <w:rPr>
          <w:rFonts w:ascii="Arial" w:hAnsi="Arial" w:eastAsia="Arial" w:cs="Arial"/>
          <w:color w:val="000000"/>
          <w:sz w:val="24"/>
          <w:szCs w:val="24"/>
        </w:rPr>
        <w:t>Reviewer workflow and author contact. Two reviewers independently extracted data using the same standardized form. The two extraction forms were compared, and discrepancies were resolved through discussion, consensus and rechecking of the full report. Critical event counts, denominators, time windows and analysis-unit decisions were verified against the full reports. Study authors were not contacted for additional or clarifying data. Where reports conflicted, the Results text and outcome-specific denominators were prioritized, with alternative values retained in the audit trail.</w:t>
      </w:r>
    </w:p>
    <w:p w14:paraId="60BD6D8C">
      <w:pPr>
        <w:spacing w:after="120" w:line="300" w:lineRule="auto"/>
      </w:pPr>
      <w:r>
        <w:rPr>
          <w:rFonts w:ascii="Arial" w:hAnsi="Arial" w:eastAsia="Arial" w:cs="Arial"/>
          <w:b w:val="0"/>
          <w:i w:val="0"/>
          <w:color w:val="000000"/>
          <w:sz w:val="24"/>
          <w:szCs w:val="24"/>
        </w:rPr>
        <w:t>Two locked adjudication rules were applied: Johnson 2024 contributed 9/40 deep-SSI events in the ciNPWT group in the principal analysis, with 8/40 retained only for sensitivity/audit purposes; the WHISH primary 90-day randomized-group analysis used 5/214 versus 14/218, while per-protocol values were treated as sensitivity information.</w:t>
      </w:r>
    </w:p>
    <w:p w14:paraId="574DF053">
      <w:pPr>
        <w:pStyle w:val="3"/>
      </w:pPr>
      <w:r>
        <w:rPr>
          <w:rFonts w:ascii="Arial" w:hAnsi="Arial" w:eastAsia="Arial" w:cs="Arial"/>
          <w:color w:val="000000"/>
          <w:sz w:val="24"/>
          <w:szCs w:val="24"/>
        </w:rPr>
        <w:t>6. Outcomes</w:t>
      </w:r>
    </w:p>
    <w:p w14:paraId="2E049A10">
      <w:pPr>
        <w:spacing w:after="120" w:line="300" w:lineRule="auto"/>
      </w:pPr>
      <w:r>
        <w:rPr>
          <w:rFonts w:ascii="Arial" w:hAnsi="Arial" w:eastAsia="Arial" w:cs="Arial"/>
          <w:b/>
          <w:i w:val="0"/>
          <w:color w:val="000000"/>
          <w:sz w:val="24"/>
          <w:szCs w:val="24"/>
        </w:rPr>
        <w:t>Primary outcome.</w:t>
      </w:r>
      <w:r>
        <w:rPr>
          <w:rFonts w:ascii="Arial" w:hAnsi="Arial" w:eastAsia="Arial" w:cs="Arial"/>
          <w:b w:val="0"/>
          <w:i w:val="0"/>
          <w:color w:val="000000"/>
          <w:sz w:val="24"/>
          <w:szCs w:val="24"/>
        </w:rPr>
        <w:t xml:space="preserve"> The primary randomized evidence synthesis was cumulative deep SSI through 90 days, using the trial-defined or CDC-compatible deep-SSI definition.</w:t>
      </w:r>
    </w:p>
    <w:p w14:paraId="3B990B8E">
      <w:pPr>
        <w:spacing w:after="120" w:line="300" w:lineRule="auto"/>
      </w:pPr>
      <w:r>
        <w:rPr>
          <w:rFonts w:ascii="Arial" w:hAnsi="Arial" w:eastAsia="Arial" w:cs="Arial"/>
          <w:b/>
          <w:i w:val="0"/>
          <w:color w:val="000000"/>
          <w:sz w:val="24"/>
          <w:szCs w:val="24"/>
        </w:rPr>
        <w:t>Secondary and exploratory infection outcomes.</w:t>
      </w:r>
      <w:r>
        <w:rPr>
          <w:rFonts w:ascii="Arial" w:hAnsi="Arial" w:eastAsia="Arial" w:cs="Arial"/>
          <w:b w:val="0"/>
          <w:i w:val="0"/>
          <w:color w:val="000000"/>
          <w:sz w:val="24"/>
          <w:szCs w:val="24"/>
        </w:rPr>
        <w:t xml:space="preserve"> Deep SSI at 30 days was analysed as a separate time point. A broad RCT infection synthesis used the longest available deep or deep-type infection result from each study. Observational deep-SSI and broad any/deep-infection syntheses were reported separately and treated as exploratory.</w:t>
      </w:r>
    </w:p>
    <w:p w14:paraId="7EDF5505">
      <w:pPr>
        <w:spacing w:after="120" w:line="300" w:lineRule="auto"/>
      </w:pPr>
      <w:r>
        <w:rPr>
          <w:rFonts w:ascii="Arial" w:hAnsi="Arial" w:eastAsia="Arial" w:cs="Arial"/>
          <w:b/>
          <w:i w:val="0"/>
          <w:color w:val="000000"/>
          <w:sz w:val="24"/>
          <w:szCs w:val="24"/>
        </w:rPr>
        <w:t>Other incision-related outcomes. Dehiscence, reoperation or major wound complication, composite wound complication, seroma volume, persistent drainage, dressing-change or wound-care burden, local wound signs and scar outcomes were retained when reported. Hematoma was eligible only when independent group-specific data were available; no included study supplied an extractable independent hematoma comparison.</w:t>
      </w:r>
      <w:r>
        <w:rPr>
          <w:rFonts w:ascii="Arial" w:hAnsi="Arial" w:eastAsia="Arial" w:cs="Arial"/>
          <w:b w:val="0"/>
          <w:i w:val="0"/>
          <w:color w:val="000000"/>
          <w:sz w:val="24"/>
          <w:szCs w:val="24"/>
        </w:rPr>
      </w:r>
    </w:p>
    <w:p w14:paraId="3BF0733D">
      <w:pPr>
        <w:spacing w:after="120" w:line="300" w:lineRule="auto"/>
      </w:pPr>
      <w:r>
        <w:rPr>
          <w:rFonts w:ascii="Arial" w:hAnsi="Arial" w:eastAsia="Arial" w:cs="Arial"/>
          <w:b/>
          <w:i w:val="0"/>
          <w:color w:val="000000"/>
          <w:sz w:val="24"/>
          <w:szCs w:val="24"/>
        </w:rPr>
        <w:t>Time points and selection rules.</w:t>
      </w:r>
      <w:r>
        <w:rPr>
          <w:rFonts w:ascii="Arial" w:hAnsi="Arial" w:eastAsia="Arial" w:cs="Arial"/>
          <w:b w:val="0"/>
          <w:i w:val="0"/>
          <w:color w:val="000000"/>
          <w:sz w:val="24"/>
          <w:szCs w:val="24"/>
        </w:rPr>
        <w:t xml:space="preserve"> All available time points were extracted when possible. The same study was not counted twice within one synthesis. Thirty-day and cumulative 90-day outcomes were analysed separately; results with an unspecified or heterogeneous follow-up were restricted to explicitly labelled exploratory syntheses.</w:t>
      </w:r>
    </w:p>
    <w:p w14:paraId="1C6ECDA5">
      <w:pPr>
        <w:pStyle w:val="3"/>
      </w:pPr>
      <w:r>
        <w:rPr>
          <w:rFonts w:ascii="Arial" w:hAnsi="Arial" w:eastAsia="Arial" w:cs="Arial"/>
          <w:color w:val="000000"/>
          <w:sz w:val="24"/>
          <w:szCs w:val="24"/>
        </w:rPr>
        <w:t>7. Risk-of-bias assessment</w:t>
      </w:r>
    </w:p>
    <w:p w14:paraId="0F243E61">
      <w:pPr>
        <w:spacing w:after="120" w:line="300" w:lineRule="auto"/>
      </w:pPr>
      <w:r>
        <w:rPr>
          <w:rFonts w:ascii="Arial" w:hAnsi="Arial" w:eastAsia="Arial" w:cs="Arial"/>
          <w:b w:val="0"/>
          <w:i w:val="0"/>
          <w:color w:val="000000"/>
          <w:sz w:val="24"/>
          <w:szCs w:val="24"/>
        </w:rPr>
        <w:t>Two reviewers independently assessed risk of bias and reached final consensus on 13 August 2026. Randomized-trial outcomes were assessed with the Cochrane RoB 2 tool using outcome-specific judgements. Observational studies were assessed with ROBINS-I. Consensus domain and overall judgements were used in figures, evidence profiles and GRADE assessments.</w:t>
      </w:r>
    </w:p>
    <w:p w14:paraId="347A2FC5">
      <w:pPr>
        <w:spacing w:after="120" w:line="300" w:lineRule="auto"/>
      </w:pPr>
      <w:r>
        <w:rPr>
          <w:rFonts w:ascii="Arial" w:hAnsi="Arial" w:eastAsia="Arial" w:cs="Arial"/>
          <w:b w:val="0"/>
          <w:i w:val="0"/>
          <w:color w:val="000000"/>
          <w:sz w:val="24"/>
          <w:szCs w:val="24"/>
        </w:rPr>
        <w:t>Randomized and observational evidence was not merged into a single causal estimate. Observational analyses used unadjusted event counts and were interpreted as exploratory because all five observational studies were judged at serious overall risk of bias.</w:t>
      </w:r>
    </w:p>
    <w:p w14:paraId="6A30BAB1">
      <w:pPr>
        <w:pStyle w:val="3"/>
      </w:pPr>
      <w:r>
        <w:rPr>
          <w:rFonts w:ascii="Arial" w:hAnsi="Arial" w:eastAsia="Arial" w:cs="Arial"/>
          <w:color w:val="000000"/>
          <w:sz w:val="24"/>
          <w:szCs w:val="24"/>
        </w:rPr>
        <w:t>8. Effect measures</w:t>
      </w:r>
    </w:p>
    <w:p w14:paraId="3D629F6F">
      <w:pPr>
        <w:spacing w:after="120" w:line="300" w:lineRule="auto"/>
      </w:pPr>
      <w:r>
        <w:rPr>
          <w:rFonts w:ascii="Arial" w:hAnsi="Arial" w:eastAsia="Arial" w:cs="Arial"/>
          <w:b w:val="0"/>
          <w:i w:val="0"/>
          <w:color w:val="000000"/>
          <w:sz w:val="24"/>
          <w:szCs w:val="24"/>
        </w:rPr>
        <w:t>Risk ratios (RRs) with 95% confidence intervals (CIs) were used for binary outcomes. Mean differences (MDs) with 95% CIs were used for continuous outcomes reported on a common scale. For single-study local wound signs, the adjusted odds ratios and adjusted risk differences reported by the trial were retained descriptively. RR values below 1 favoured ciNPWT for adverse outcomes.</w:t>
      </w:r>
    </w:p>
    <w:p w14:paraId="510EA81A">
      <w:pPr>
        <w:pStyle w:val="3"/>
      </w:pPr>
      <w:r>
        <w:rPr>
          <w:rFonts w:ascii="Arial" w:hAnsi="Arial" w:eastAsia="Arial" w:cs="Arial"/>
          <w:color w:val="000000"/>
          <w:sz w:val="24"/>
          <w:szCs w:val="24"/>
        </w:rPr>
        <w:t>9. Data preparation and synthesis</w:t>
      </w:r>
    </w:p>
    <w:p w14:paraId="46F4C855">
      <w:pPr>
        <w:pStyle w:val="4"/>
      </w:pPr>
      <w:r>
        <w:rPr>
          <w:rFonts w:ascii="Arial" w:hAnsi="Arial" w:eastAsia="Arial" w:cs="Arial"/>
          <w:color w:val="000000"/>
          <w:sz w:val="24"/>
          <w:szCs w:val="24"/>
        </w:rPr>
        <w:t>9.1 Eligibility for each synthesis</w:t>
      </w:r>
    </w:p>
    <w:p w14:paraId="07101E8E">
      <w:pPr>
        <w:spacing w:after="120" w:line="300" w:lineRule="auto"/>
      </w:pPr>
      <w:r>
        <w:rPr>
          <w:rFonts w:ascii="Arial" w:hAnsi="Arial" w:eastAsia="Arial" w:cs="Arial"/>
          <w:b w:val="0"/>
          <w:i w:val="0"/>
          <w:color w:val="000000"/>
          <w:sz w:val="24"/>
          <w:szCs w:val="24"/>
        </w:rPr>
        <w:t>Studies were grouped by design (randomized versus observational), outcome definition, time window and analysis unit. Deep SSI through 90 days was the strict primary synthesis. Broader infection definitions, unspecified/longest follow-up, fracture-level analyses and observational evidence were labelled exploratory.</w:t>
      </w:r>
    </w:p>
    <w:p w14:paraId="6794E5EB">
      <w:pPr>
        <w:pStyle w:val="4"/>
      </w:pPr>
      <w:r>
        <w:rPr>
          <w:rFonts w:ascii="Arial" w:hAnsi="Arial" w:eastAsia="Arial" w:cs="Arial"/>
          <w:color w:val="000000"/>
          <w:sz w:val="24"/>
          <w:szCs w:val="24"/>
        </w:rPr>
        <w:t>9.2 Sparse events, missing statistics and analysis units</w:t>
      </w:r>
    </w:p>
    <w:p w14:paraId="0F5A48D6">
      <w:pPr>
        <w:spacing w:after="120" w:line="300" w:lineRule="auto"/>
      </w:pPr>
      <w:r>
        <w:rPr>
          <w:rFonts w:ascii="Arial" w:hAnsi="Arial" w:eastAsia="Arial" w:cs="Arial"/>
          <w:b w:val="0"/>
          <w:i w:val="0"/>
          <w:color w:val="000000"/>
          <w:sz w:val="24"/>
          <w:szCs w:val="24"/>
        </w:rPr>
        <w:t>For inverse-variance RR calculations, a continuity correction of 0.5 was applied only to studies with at least one zero cell. Double-zero studies did not contribute to RR pooling. A missing event count was not interpreted as zero. Continuous outcomes without a standard deviation were not pooled. Patient-level and fracture-level denominators were not added as if they were identical analysis units.</w:t>
      </w:r>
    </w:p>
    <w:p w14:paraId="2B4C4B52">
      <w:pPr>
        <w:pStyle w:val="4"/>
      </w:pPr>
      <w:r>
        <w:rPr>
          <w:rFonts w:ascii="Arial" w:hAnsi="Arial" w:eastAsia="Arial" w:cs="Arial"/>
          <w:color w:val="000000"/>
          <w:sz w:val="24"/>
          <w:szCs w:val="24"/>
        </w:rPr>
        <w:t>9.3 Tables and figures</w:t>
      </w:r>
    </w:p>
    <w:p w14:paraId="544C3BFA">
      <w:pPr>
        <w:spacing w:after="120" w:line="300" w:lineRule="auto"/>
      </w:pPr>
      <w:r>
        <w:rPr>
          <w:rFonts w:ascii="Arial" w:hAnsi="Arial" w:eastAsia="Arial" w:cs="Arial"/>
          <w:b w:val="0"/>
          <w:i w:val="0"/>
          <w:color w:val="000000"/>
          <w:sz w:val="24"/>
          <w:szCs w:val="24"/>
        </w:rPr>
        <w:t>Individual-study group counts, effect estimates and 95% CIs were displayed in forest plots. Randomized and observational results were displayed in separate design strata. Diamonds represented pooled random-effects estimates. Risk-of-bias traffic-light and summary plots were generated from the final consensus assessments. GRADE Summary of Findings and extended evidence-profile tables reported relative and absolute effects.</w:t>
      </w:r>
    </w:p>
    <w:p w14:paraId="26376EA5">
      <w:pPr>
        <w:pStyle w:val="4"/>
      </w:pPr>
      <w:r>
        <w:rPr>
          <w:rFonts w:ascii="Arial" w:hAnsi="Arial" w:eastAsia="Arial" w:cs="Arial"/>
          <w:color w:val="000000"/>
          <w:sz w:val="24"/>
          <w:szCs w:val="24"/>
        </w:rPr>
        <w:t>9.4 Meta-analysis model and heterogeneity</w:t>
      </w:r>
    </w:p>
    <w:p w14:paraId="31A5EECE">
      <w:pPr>
        <w:spacing w:after="120" w:line="300" w:lineRule="auto"/>
      </w:pPr>
      <w:r>
        <w:rPr>
          <w:rFonts w:ascii="Arial" w:hAnsi="Arial" w:eastAsia="Arial" w:cs="Arial"/>
          <w:b w:val="0"/>
          <w:i w:val="0"/>
          <w:color w:val="000000"/>
          <w:sz w:val="24"/>
          <w:szCs w:val="24"/>
        </w:rPr>
        <w:t>The primary statistical model was inverse-variance random-effects meta-analysis with between-study variance estimated by restricted maximum likelihood (REML) and Wald 95% CIs. Statistical heterogeneity was summarized using the model-consistent I² statistic, τ² and Cochran's Q test with its P value. Mantel-Haenszel common-effect and modified Hartung-Knapp-Sidik-Jonkman intervals were retained as sensitivity analyses, not substitutes for the prespecified random-effects interpretation.</w:t>
      </w:r>
    </w:p>
    <w:p w14:paraId="40991A5D">
      <w:pPr>
        <w:spacing w:after="120" w:line="300" w:lineRule="auto"/>
      </w:pPr>
      <w:r>
        <w:rPr>
          <w:rFonts w:ascii="Arial" w:hAnsi="Arial" w:eastAsia="Arial" w:cs="Arial"/>
          <w:color w:val="000000"/>
          <w:sz w:val="24"/>
          <w:szCs w:val="24"/>
        </w:rPr>
        <w:t>Analyses and publication figures were implemented in R version 4.6.0 (2026-04-24 ucrt) using readxl 1.5.0, dplyr 1.2.1, tidyr 1.3.2, metafor 5.0.1, ggplot2 4.0.3, patchwork 1.3.2, scales 1.4.0 and ggrepel 0.9.8, as applicable.</w:t>
      </w:r>
    </w:p>
    <w:p w14:paraId="39BB4A05">
      <w:pPr>
        <w:pStyle w:val="3"/>
      </w:pPr>
      <w:r>
        <w:rPr>
          <w:rFonts w:ascii="Arial" w:hAnsi="Arial" w:eastAsia="Arial" w:cs="Arial"/>
          <w:color w:val="000000"/>
          <w:sz w:val="24"/>
          <w:szCs w:val="24"/>
        </w:rPr>
        <w:t>10. Heterogeneity exploration and sensitivity analyses</w:t>
      </w:r>
    </w:p>
    <w:p w14:paraId="49779D6C">
      <w:pPr>
        <w:spacing w:after="120" w:line="300" w:lineRule="auto"/>
      </w:pPr>
      <w:r>
        <w:rPr>
          <w:rFonts w:ascii="Arial" w:hAnsi="Arial" w:eastAsia="Arial" w:cs="Arial"/>
          <w:b w:val="0"/>
          <w:i w:val="0"/>
          <w:color w:val="000000"/>
          <w:sz w:val="24"/>
          <w:szCs w:val="24"/>
        </w:rPr>
        <w:t>Prespecified or audit-driven sensitivity analyses varied the follow-up time point (30 versus 90 days), analysis population (randomized-group versus per-protocol), Stannard open/closed-fracture inclusion, continuity corrections, inference method and exclusion of one study at a time. Design-stratified comparisons were descriptive; randomized and observational pooled estimates were not formally treated as exchangeable causal estimates. Meta-regression was not performed because each synthesis contained too few studies.</w:t>
      </w:r>
    </w:p>
    <w:p w14:paraId="3CD16191">
      <w:pPr>
        <w:pStyle w:val="3"/>
      </w:pPr>
      <w:r>
        <w:rPr>
          <w:rFonts w:ascii="Arial" w:hAnsi="Arial" w:eastAsia="Arial" w:cs="Arial"/>
          <w:color w:val="000000"/>
          <w:sz w:val="24"/>
          <w:szCs w:val="24"/>
        </w:rPr>
        <w:t>11. Reporting-bias assessment</w:t>
      </w:r>
    </w:p>
    <w:p w14:paraId="4106A99A">
      <w:pPr>
        <w:spacing w:after="120" w:line="300" w:lineRule="auto"/>
      </w:pPr>
      <w:r>
        <w:rPr>
          <w:rFonts w:ascii="Arial" w:hAnsi="Arial" w:eastAsia="Arial" w:cs="Arial"/>
          <w:b w:val="0"/>
          <w:i w:val="0"/>
          <w:color w:val="000000"/>
          <w:sz w:val="24"/>
          <w:szCs w:val="24"/>
        </w:rPr>
        <w:t>All eligible outcome pools contained fewer than 10 studies. Formal funnel-plot asymmetry tests, including Egger and Begg tests, were therefore not performed because they would have very low power and unstable type-I error. An exploratory funnel plot was retained only as a descriptive visualization and was not used to claim absence or presence of publication bias.</w:t>
      </w:r>
    </w:p>
    <w:p w14:paraId="25C1F0E9">
      <w:pPr>
        <w:pStyle w:val="3"/>
      </w:pPr>
      <w:r>
        <w:rPr>
          <w:rFonts w:ascii="Arial" w:hAnsi="Arial" w:eastAsia="Arial" w:cs="Arial"/>
          <w:color w:val="000000"/>
          <w:sz w:val="24"/>
          <w:szCs w:val="24"/>
        </w:rPr>
        <w:t>12. Certainty of evidence</w:t>
      </w:r>
    </w:p>
    <w:p w14:paraId="0FEC2093">
      <w:pPr>
        <w:spacing w:after="120" w:line="300" w:lineRule="auto"/>
      </w:pPr>
      <w:r>
        <w:rPr>
          <w:rFonts w:ascii="Arial" w:hAnsi="Arial" w:eastAsia="Arial" w:cs="Arial"/>
          <w:b w:val="0"/>
          <w:i w:val="0"/>
          <w:color w:val="000000"/>
          <w:sz w:val="24"/>
          <w:szCs w:val="24"/>
        </w:rPr>
        <w:t>Certainty was assessed using GRADE across risk of bias, inconsistency, indirectness, imprecision and publication bias. Randomized evidence began at high certainty and observational evidence at low certainty before domain-specific downgrading or, where justified, upgrading. Absolute effects were calculated from the pooled control risk and the pooled relative effect. Ten assessable outcomes were rated very low certainty; hematoma was not rated because no independent grouped effect estimate was available.</w:t>
      </w:r>
    </w:p>
    <w:p w14:paraId="3AF237E6">
      <w:pPr>
        <w:pStyle w:val="3"/>
      </w:pPr>
      <w:r>
        <w:rPr>
          <w:rFonts w:ascii="Arial" w:hAnsi="Arial" w:eastAsia="Arial" w:cs="Arial"/>
          <w:color w:val="000000"/>
          <w:sz w:val="24"/>
          <w:szCs w:val="24"/>
        </w:rPr>
        <w:t>13. Reproducibility and audit trail</w:t>
      </w:r>
    </w:p>
    <w:p w14:paraId="7FD7E4C5">
      <w:pPr>
        <w:spacing w:after="120" w:line="300" w:lineRule="auto"/>
      </w:pPr>
      <w:r>
        <w:rPr>
          <w:rFonts w:ascii="Arial" w:hAnsi="Arial" w:eastAsia="Arial" w:cs="Arial"/>
          <w:b w:val="0"/>
          <w:i w:val="0"/>
          <w:color w:val="000000"/>
          <w:sz w:val="24"/>
          <w:szCs w:val="24"/>
        </w:rPr>
        <w:t>The submission package retains the completed screening workbook, the ten-study extraction workbook, locked binary-outcome inputs, pooled-result tables, shared R plotting/meta-analysis code, model and zero-cell sensitivity outputs, leave-one-out results, risk-of-bias consensus workbooks and figure-level QA files. Statistical results are locked to 10 August 2026 and risk-of-bias consensus to 13 August 2026.</w:t>
      </w:r>
    </w:p>
    <w:p w14:paraId="4E62C9F6">
      <w:pPr>
        <w:pStyle w:val="3"/>
      </w:pPr>
      <w:r>
        <w:rPr>
          <w:rFonts w:ascii="Arial" w:hAnsi="Arial" w:eastAsia="Arial" w:cs="Arial"/>
          <w:color w:val="000000"/>
          <w:sz w:val="24"/>
          <w:szCs w:val="24"/>
        </w:rPr>
        <w:t>References for methods</w:t>
      </w:r>
    </w:p>
    <w:tbl>
      <w:tblPr>
        <w:tblStyle w:val="32"/>
        <w:tblW w:w="9360" w:type="dxa"/>
        <w:tblInd w:w="120" w:type="dxa"/>
        <w:tblLayout w:type="fixed"/>
        <w:tblCellMar>
          <w:top w:w="0" w:type="dxa"/>
          <w:left w:w="108" w:type="dxa"/>
          <w:bottom w:w="0" w:type="dxa"/>
          <w:right w:w="108" w:type="dxa"/>
        </w:tblCellMar>
      </w:tblPr>
      <w:tblGrid>
        <w:gridCol w:w="2200"/>
        <w:gridCol w:w="7160"/>
      </w:tblGrid>
      <w:tr w14:paraId="1B05DF62">
        <w:tblPrEx>
          <w:tblCellMar>
            <w:top w:w="0" w:type="dxa"/>
            <w:left w:w="108" w:type="dxa"/>
            <w:bottom w:w="0" w:type="dxa"/>
            <w:right w:w="108" w:type="dxa"/>
          </w:tblCellMar>
        </w:tblPrEx>
        <w:trPr>
          <w:cantSplit/>
          <w:tblHeader/>
          <w:cantSplit/>
          <w:tblHeader/>
        </w:trPr>
        <w:tc>
          <w:tcPr>
            <w:tcW w:w="2200" w:type="dxa"/>
            <w:shd w:val="clear" w:color="auto" w:fill="auto"/>
            <w:tcMar>
              <w:top w:w="80" w:type="dxa"/>
              <w:left w:w="120" w:type="dxa"/>
              <w:bottom w:w="80" w:type="dxa"/>
              <w:right w:w="120" w:type="dxa"/>
            </w:tcMar>
            <w:vAlign w:val="center"/>
          </w:tcPr>
          <w:p w14:paraId="6D96BF5B">
            <w:pPr>
              <w:spacing w:after="0"/>
              <w:jc w:val="center"/>
            </w:pPr>
            <w:r>
              <w:rPr>
                <w:rFonts w:ascii="Arial" w:hAnsi="Arial" w:eastAsia="Arial" w:cs="Arial"/>
                <w:b/>
                <w:i w:val="0"/>
                <w:color w:val="000000"/>
                <w:sz w:val="24"/>
                <w:szCs w:val="24"/>
              </w:rPr>
              <w:t>Source</w:t>
            </w:r>
          </w:p>
        </w:tc>
        <w:tc>
          <w:tcPr>
            <w:tcW w:w="7160" w:type="dxa"/>
            <w:shd w:val="clear" w:color="auto" w:fill="auto"/>
            <w:tcMar>
              <w:top w:w="80" w:type="dxa"/>
              <w:left w:w="120" w:type="dxa"/>
              <w:bottom w:w="80" w:type="dxa"/>
              <w:right w:w="120" w:type="dxa"/>
            </w:tcMar>
            <w:vAlign w:val="center"/>
          </w:tcPr>
          <w:p w14:paraId="49EC17F8">
            <w:pPr>
              <w:spacing w:after="0"/>
              <w:jc w:val="center"/>
            </w:pPr>
            <w:r>
              <w:rPr>
                <w:rFonts w:ascii="Arial" w:hAnsi="Arial" w:eastAsia="Arial" w:cs="Arial"/>
                <w:b/>
                <w:i w:val="0"/>
                <w:color w:val="000000"/>
                <w:sz w:val="24"/>
                <w:szCs w:val="24"/>
              </w:rPr>
              <w:t>Reference or URL</w:t>
            </w:r>
          </w:p>
        </w:tc>
      </w:tr>
      <w:tr w14:paraId="295D979F">
        <w:tblPrEx>
          <w:tblCellMar>
            <w:top w:w="0" w:type="dxa"/>
            <w:left w:w="108" w:type="dxa"/>
            <w:bottom w:w="0" w:type="dxa"/>
            <w:right w:w="108" w:type="dxa"/>
          </w:tblCellMar>
        </w:tblPrEx>
        <w:trPr>
          <w:cantSplit/>
          <w:cantSplit/>
        </w:trPr>
        <w:tc>
          <w:tcPr>
            <w:tcW w:w="2200" w:type="dxa"/>
            <w:shd w:val="clear" w:color="auto" w:fill="auto"/>
            <w:tcMar>
              <w:top w:w="80" w:type="dxa"/>
              <w:left w:w="120" w:type="dxa"/>
              <w:bottom w:w="80" w:type="dxa"/>
              <w:right w:w="120" w:type="dxa"/>
            </w:tcMar>
            <w:vAlign w:val="center"/>
          </w:tcPr>
          <w:p w14:paraId="65957F4B">
            <w:pPr>
              <w:spacing w:after="0"/>
            </w:pPr>
            <w:r>
              <w:rPr>
                <w:rFonts w:ascii="Arial" w:hAnsi="Arial" w:eastAsia="Arial" w:cs="Arial"/>
                <w:b/>
                <w:i w:val="0"/>
                <w:color w:val="000000"/>
                <w:sz w:val="24"/>
                <w:szCs w:val="24"/>
              </w:rPr>
              <w:t>PRISMA 2020</w:t>
            </w:r>
          </w:p>
        </w:tc>
        <w:tc>
          <w:tcPr>
            <w:tcW w:w="7160" w:type="dxa"/>
            <w:tcMar>
              <w:top w:w="80" w:type="dxa"/>
              <w:left w:w="120" w:type="dxa"/>
              <w:bottom w:w="80" w:type="dxa"/>
              <w:right w:w="120" w:type="dxa"/>
            </w:tcMar>
            <w:vAlign w:val="center"/>
          </w:tcPr>
          <w:p w14:paraId="03A98BA9">
            <w:pPr>
              <w:spacing w:after="0"/>
            </w:pPr>
            <w:r>
              <w:rPr>
                <w:rFonts w:ascii="Arial" w:hAnsi="Arial" w:eastAsia="Arial" w:cs="Arial"/>
                <w:b w:val="0"/>
                <w:i w:val="0"/>
                <w:color w:val="000000"/>
                <w:sz w:val="24"/>
                <w:szCs w:val="24"/>
              </w:rPr>
              <w:t>Page MJ et al. BMJ. 2021;372:n71. doi:10.1136/bmj.n71.</w:t>
            </w:r>
          </w:p>
        </w:tc>
      </w:tr>
      <w:tr w14:paraId="05529A51">
        <w:tblPrEx>
          <w:tblCellMar>
            <w:top w:w="0" w:type="dxa"/>
            <w:left w:w="108" w:type="dxa"/>
            <w:bottom w:w="0" w:type="dxa"/>
            <w:right w:w="108" w:type="dxa"/>
          </w:tblCellMar>
        </w:tblPrEx>
        <w:trPr>
          <w:cantSplit/>
          <w:cantSplit/>
        </w:trPr>
        <w:tc>
          <w:tcPr>
            <w:tcW w:w="2200" w:type="dxa"/>
            <w:shd w:val="clear" w:color="auto" w:fill="auto"/>
            <w:tcMar>
              <w:top w:w="80" w:type="dxa"/>
              <w:left w:w="120" w:type="dxa"/>
              <w:bottom w:w="80" w:type="dxa"/>
              <w:right w:w="120" w:type="dxa"/>
            </w:tcMar>
            <w:vAlign w:val="center"/>
          </w:tcPr>
          <w:p w14:paraId="2EACA7CD">
            <w:pPr>
              <w:spacing w:after="0"/>
            </w:pPr>
            <w:r>
              <w:rPr>
                <w:rFonts w:ascii="Arial" w:hAnsi="Arial" w:eastAsia="Arial" w:cs="Arial"/>
                <w:b/>
                <w:i w:val="0"/>
                <w:color w:val="000000"/>
                <w:sz w:val="24"/>
                <w:szCs w:val="24"/>
              </w:rPr>
              <w:t>Cochrane Handbook</w:t>
            </w:r>
          </w:p>
        </w:tc>
        <w:tc>
          <w:tcPr>
            <w:tcW w:w="7160" w:type="dxa"/>
            <w:shd w:val="clear" w:color="auto" w:fill="FAFBFC"/>
            <w:tcMar>
              <w:top w:w="80" w:type="dxa"/>
              <w:left w:w="120" w:type="dxa"/>
              <w:bottom w:w="80" w:type="dxa"/>
              <w:right w:w="120" w:type="dxa"/>
            </w:tcMar>
            <w:vAlign w:val="center"/>
          </w:tcPr>
          <w:p w14:paraId="0A451A13">
            <w:pPr>
              <w:spacing w:after="0"/>
            </w:pPr>
            <w:r>
              <w:rPr>
                <w:rFonts w:ascii="Arial" w:hAnsi="Arial" w:eastAsia="Arial" w:cs="Arial"/>
                <w:b w:val="0"/>
                <w:i w:val="0"/>
                <w:color w:val="000000"/>
                <w:sz w:val="24"/>
                <w:szCs w:val="24"/>
              </w:rPr>
              <w:t>https://training.cochrane.org/handbook/current</w:t>
            </w:r>
          </w:p>
        </w:tc>
      </w:tr>
      <w:tr w14:paraId="1B75920E">
        <w:tblPrEx>
          <w:tblCellMar>
            <w:top w:w="0" w:type="dxa"/>
            <w:left w:w="108" w:type="dxa"/>
            <w:bottom w:w="0" w:type="dxa"/>
            <w:right w:w="108" w:type="dxa"/>
          </w:tblCellMar>
        </w:tblPrEx>
        <w:trPr>
          <w:cantSplit/>
          <w:cantSplit/>
        </w:trPr>
        <w:tc>
          <w:tcPr>
            <w:tcW w:w="2200" w:type="dxa"/>
            <w:shd w:val="clear" w:color="auto" w:fill="auto"/>
            <w:tcMar>
              <w:top w:w="80" w:type="dxa"/>
              <w:left w:w="120" w:type="dxa"/>
              <w:bottom w:w="80" w:type="dxa"/>
              <w:right w:w="120" w:type="dxa"/>
            </w:tcMar>
            <w:vAlign w:val="center"/>
          </w:tcPr>
          <w:p w14:paraId="06F7B5BB">
            <w:pPr>
              <w:spacing w:after="0"/>
            </w:pPr>
            <w:r>
              <w:rPr>
                <w:rFonts w:ascii="Arial" w:hAnsi="Arial" w:eastAsia="Arial" w:cs="Arial"/>
                <w:b/>
                <w:i w:val="0"/>
                <w:color w:val="000000"/>
                <w:sz w:val="24"/>
                <w:szCs w:val="24"/>
              </w:rPr>
              <w:t>RoB 2</w:t>
            </w:r>
          </w:p>
        </w:tc>
        <w:tc>
          <w:tcPr>
            <w:tcW w:w="7160" w:type="dxa"/>
            <w:tcMar>
              <w:top w:w="80" w:type="dxa"/>
              <w:left w:w="120" w:type="dxa"/>
              <w:bottom w:w="80" w:type="dxa"/>
              <w:right w:w="120" w:type="dxa"/>
            </w:tcMar>
            <w:vAlign w:val="center"/>
          </w:tcPr>
          <w:p w14:paraId="7F77D836">
            <w:pPr>
              <w:spacing w:after="0"/>
            </w:pPr>
            <w:r>
              <w:rPr>
                <w:rFonts w:ascii="Arial" w:hAnsi="Arial" w:eastAsia="Arial" w:cs="Arial"/>
                <w:b w:val="0"/>
                <w:i w:val="0"/>
                <w:color w:val="000000"/>
                <w:sz w:val="24"/>
                <w:szCs w:val="24"/>
              </w:rPr>
              <w:t>https://www.riskofbias.info/welcome/rob-2-0-tool/current-version-of-rob-2</w:t>
            </w:r>
          </w:p>
        </w:tc>
      </w:tr>
      <w:tr w14:paraId="1AAC1C3D">
        <w:tblPrEx>
          <w:tblCellMar>
            <w:top w:w="0" w:type="dxa"/>
            <w:left w:w="108" w:type="dxa"/>
            <w:bottom w:w="0" w:type="dxa"/>
            <w:right w:w="108" w:type="dxa"/>
          </w:tblCellMar>
        </w:tblPrEx>
        <w:trPr>
          <w:cantSplit/>
          <w:cantSplit/>
        </w:trPr>
        <w:tc>
          <w:tcPr>
            <w:tcW w:w="2200" w:type="dxa"/>
            <w:shd w:val="clear" w:color="auto" w:fill="auto"/>
            <w:tcMar>
              <w:top w:w="80" w:type="dxa"/>
              <w:left w:w="120" w:type="dxa"/>
              <w:bottom w:w="80" w:type="dxa"/>
              <w:right w:w="120" w:type="dxa"/>
            </w:tcMar>
            <w:vAlign w:val="center"/>
          </w:tcPr>
          <w:p w14:paraId="3FBA124C">
            <w:pPr>
              <w:spacing w:after="0"/>
            </w:pPr>
            <w:r>
              <w:rPr>
                <w:rFonts w:ascii="Arial" w:hAnsi="Arial" w:eastAsia="Arial" w:cs="Arial"/>
                <w:b/>
                <w:i w:val="0"/>
                <w:color w:val="000000"/>
                <w:sz w:val="24"/>
                <w:szCs w:val="24"/>
              </w:rPr>
              <w:t>ROBINS-I</w:t>
            </w:r>
          </w:p>
        </w:tc>
        <w:tc>
          <w:tcPr>
            <w:tcW w:w="7160" w:type="dxa"/>
            <w:shd w:val="clear" w:color="auto" w:fill="FAFBFC"/>
            <w:tcMar>
              <w:top w:w="80" w:type="dxa"/>
              <w:left w:w="120" w:type="dxa"/>
              <w:bottom w:w="80" w:type="dxa"/>
              <w:right w:w="120" w:type="dxa"/>
            </w:tcMar>
            <w:vAlign w:val="center"/>
          </w:tcPr>
          <w:p w14:paraId="41745C44">
            <w:pPr>
              <w:spacing w:after="0"/>
            </w:pPr>
            <w:r>
              <w:rPr>
                <w:rFonts w:ascii="Arial" w:hAnsi="Arial" w:eastAsia="Arial" w:cs="Arial"/>
                <w:b w:val="0"/>
                <w:i w:val="0"/>
                <w:color w:val="000000"/>
                <w:sz w:val="24"/>
                <w:szCs w:val="24"/>
              </w:rPr>
              <w:t>https://www.riskofbias.info/welcome/home/current-version-of-robins-i</w:t>
            </w:r>
          </w:p>
        </w:tc>
      </w:tr>
      <w:tr w14:paraId="41F1BDFB">
        <w:tblPrEx>
          <w:tblCellMar>
            <w:top w:w="0" w:type="dxa"/>
            <w:left w:w="108" w:type="dxa"/>
            <w:bottom w:w="0" w:type="dxa"/>
            <w:right w:w="108" w:type="dxa"/>
          </w:tblCellMar>
        </w:tblPrEx>
        <w:trPr>
          <w:cantSplit/>
          <w:cantSplit/>
        </w:trPr>
        <w:tc>
          <w:tcPr>
            <w:tcW w:w="2200" w:type="dxa"/>
            <w:shd w:val="clear" w:color="auto" w:fill="auto"/>
            <w:tcMar>
              <w:top w:w="80" w:type="dxa"/>
              <w:left w:w="120" w:type="dxa"/>
              <w:bottom w:w="80" w:type="dxa"/>
              <w:right w:w="120" w:type="dxa"/>
            </w:tcMar>
            <w:vAlign w:val="center"/>
          </w:tcPr>
          <w:p w14:paraId="0411595F">
            <w:pPr>
              <w:spacing w:after="0"/>
            </w:pPr>
            <w:r>
              <w:rPr>
                <w:rFonts w:ascii="Arial" w:hAnsi="Arial" w:eastAsia="Arial" w:cs="Arial"/>
                <w:b/>
                <w:i w:val="0"/>
                <w:color w:val="000000"/>
                <w:sz w:val="24"/>
                <w:szCs w:val="24"/>
              </w:rPr>
              <w:t>metafor</w:t>
            </w:r>
          </w:p>
        </w:tc>
        <w:tc>
          <w:tcPr>
            <w:tcW w:w="7160" w:type="dxa"/>
            <w:tcMar>
              <w:top w:w="80" w:type="dxa"/>
              <w:left w:w="120" w:type="dxa"/>
              <w:bottom w:w="80" w:type="dxa"/>
              <w:right w:w="120" w:type="dxa"/>
            </w:tcMar>
            <w:vAlign w:val="center"/>
          </w:tcPr>
          <w:p w14:paraId="451FDB6B">
            <w:pPr>
              <w:spacing w:after="0"/>
            </w:pPr>
            <w:r>
              <w:rPr>
                <w:rFonts w:ascii="Arial" w:hAnsi="Arial" w:eastAsia="Arial" w:cs="Arial"/>
                <w:b w:val="0"/>
                <w:i w:val="0"/>
                <w:color w:val="000000"/>
                <w:sz w:val="24"/>
                <w:szCs w:val="24"/>
              </w:rPr>
              <w:t>Viechtbauer W. J Stat Softw. 2010;36(3):1-48. doi:10.18637/jss.v036.i03.</w:t>
            </w:r>
          </w:p>
        </w:tc>
      </w:tr>
    </w:tbl>
    <w:p w14:paraId="64FADDD3"/>
    <w:sectPr>
      <w:headerReference r:id="rId5" w:type="default"/>
      <w:footerReference r:id="rId6" w:type="default"/>
      <w:headerReference w:type="first" r:id="rId11"/>
      <w:headerReference w:type="even" r:id="rId12"/>
      <w:footerReference w:type="first" r:id="rId13"/>
      <w:footerReference w:type="even" r:id="rId14"/>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86"/>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D67B">
    <w:pPr>
      <w:pStyle w:val="24"/>
    </w:pPr>
  </w:p>
  <w:tbl>
    <w:tblPr>
      <w:tblStyle w:val="32"/>
      <w:tblW w:w="9360" w:type="dxa"/>
      <w:tblInd w:w="120" w:type="dxa"/>
      <w:tblLayout w:type="fixed"/>
      <w:tblCellMar>
        <w:top w:w="0" w:type="dxa"/>
        <w:left w:w="108" w:type="dxa"/>
        <w:bottom w:w="0" w:type="dxa"/>
        <w:right w:w="108" w:type="dxa"/>
      </w:tblCellMar>
    </w:tblPr>
    <w:tblGrid>
      <w:gridCol w:w="7600"/>
      <w:gridCol w:w="1760"/>
    </w:tblGrid>
    <w:tr w14:paraId="0C175DAD">
      <w:tblPrEx>
        <w:tblCellMar>
          <w:top w:w="0" w:type="dxa"/>
          <w:left w:w="108" w:type="dxa"/>
          <w:bottom w:w="0" w:type="dxa"/>
          <w:right w:w="108" w:type="dxa"/>
        </w:tblCellMar>
      </w:tblPrEx>
      <w:trPr>
        <w:cantSplit/>
      </w:trPr>
      <w:tc>
        <w:tcPr>
          <w:tcW w:w="7600" w:type="dxa"/>
          <w:tcMar>
            <w:top w:w="80" w:type="dxa"/>
            <w:left w:w="120" w:type="dxa"/>
            <w:bottom w:w="80" w:type="dxa"/>
            <w:right w:w="120" w:type="dxa"/>
          </w:tcMar>
          <w:vAlign w:val="center"/>
        </w:tcPr>
        <w:p w14:paraId="3AB8BCE5">
          <w:pPr>
            <w:spacing w:after="0"/>
          </w:pPr>
          <w:r>
            <w:rPr>
              <w:rFonts w:ascii="Arial" w:hAnsi="Arial" w:eastAsia="Arial" w:cs="Arial"/>
              <w:b w:val="0"/>
              <w:i w:val="0"/>
              <w:color w:val="000000"/>
              <w:sz w:val="24"/>
              <w:szCs w:val="24"/>
            </w:rPr>
            <w:t>ciNPWT meta-analysis | data lock 10 Aug 2026</w:t>
          </w:r>
        </w:p>
      </w:tc>
      <w:tc>
        <w:tcPr>
          <w:tcW w:w="1760" w:type="dxa"/>
          <w:tcMar>
            <w:top w:w="80" w:type="dxa"/>
            <w:left w:w="120" w:type="dxa"/>
            <w:bottom w:w="80" w:type="dxa"/>
            <w:right w:w="120" w:type="dxa"/>
          </w:tcMar>
          <w:vAlign w:val="center"/>
        </w:tcPr>
        <w:p w14:paraId="61D12439">
          <w:pPr>
            <w:spacing w:after="0"/>
            <w:jc w:val="right"/>
          </w:pPr>
          <w:r>
            <w:rPr>
              <w:rFonts w:ascii="Arial" w:hAnsi="Arial" w:eastAsia="Arial" w:cs="Arial"/>
              <w:b w:val="0"/>
              <w:i w:val="0"/>
              <w:color w:val="000000"/>
              <w:sz w:val="24"/>
              <w:szCs w:val="24"/>
            </w:rPr>
            <w:t xml:space="preserve">Page </w:t>
          </w:r>
          <w:r>
            <w:rPr>
              <w:rFonts w:ascii="Arial" w:hAnsi="Arial" w:eastAsia="Arial" w:cs="Arial"/>
              <w:b w:val="0"/>
              <w:i w:val="0"/>
              <w:color w:val="000000"/>
              <w:sz w:val="24"/>
              <w:szCs w:val="24"/>
            </w:rPr>
            <w:fldChar w:fldCharType="begin"/>
          </w:r>
          <w:r>
            <w:rPr>
              <w:rFonts w:ascii="Arial" w:hAnsi="Arial" w:eastAsia="Arial" w:cs="Arial"/>
              <w:b w:val="0"/>
              <w:i w:val="0"/>
              <w:color w:val="000000"/>
              <w:sz w:val="24"/>
              <w:szCs w:val="24"/>
            </w:rPr>
            <w:instrText xml:space="preserve"> PAGE </w:instrText>
          </w:r>
          <w:r>
            <w:rPr>
              <w:rFonts w:ascii="Arial" w:hAnsi="Arial" w:eastAsia="Arial" w:cs="Arial"/>
              <w:b w:val="0"/>
              <w:i w:val="0"/>
              <w:color w:val="000000"/>
              <w:sz w:val="24"/>
              <w:szCs w:val="24"/>
            </w:rPr>
            <w:fldChar w:fldCharType="end"/>
          </w:r>
        </w:p>
      </w:tc>
    </w:tr>
  </w:tbl>
  <w:p w14:paraId="45025E38"/>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06806">
    <w:pPr>
      <w:pStyle w:val="25"/>
      <w:spacing w:after="0"/>
      <w:jc w:val="left"/>
    </w:pPr>
    <w:r>
      <w:rPr>
        <w:rFonts w:ascii="Arial" w:hAnsi="Arial" w:eastAsia="Arial" w:cs="Arial"/>
        <w:b/>
        <w:i w:val="0"/>
        <w:color w:val="000000"/>
        <w:sz w:val="24"/>
        <w:szCs w:val="24"/>
      </w:rPr>
      <w:t>SUBMISSION REPORTING FILE  |  Supplementary Methods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Arial" w:hAnsi="Arial" w:eastAsia="Arial" w:cs="Arial"/>
        <w:color w:val="000000"/>
        <w:sz w:val="24"/>
        <w:szCs w:val="24"/>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Arial" w:hAnsi="Arial" w:eastAsia="Arial" w:cs="Arial"/>
        <w:color w:val="000000"/>
        <w:sz w:val="24"/>
        <w:szCs w:val="24"/>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Arial" w:hAnsi="Arial" w:eastAsia="Arial" w:cs="Arial"/>
        <w:color w:val="000000"/>
        <w:sz w:val="24"/>
        <w:szCs w:val="24"/>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CFD38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120" w:line="300" w:lineRule="auto"/>
    </w:pPr>
    <w:rPr>
      <w:rFonts w:ascii="Arial" w:hAnsi="Arial" w:eastAsia="Arial" w:cs="Arial"/>
      <w:color w:val="000000"/>
      <w:sz w:val="24"/>
      <w:szCs w:val="24"/>
      <w:lang w:val="en-US" w:eastAsia="en-US" w:bidi="ar-SA"/>
    </w:rPr>
  </w:style>
  <w:style w:type="paragraph" w:styleId="3">
    <w:name w:val="heading 1"/>
    <w:basedOn w:val="1"/>
    <w:next w:val="1"/>
    <w:link w:val="138"/>
    <w:qFormat/>
    <w:uiPriority w:val="9"/>
    <w:pPr>
      <w:keepNext/>
      <w:keepLines/>
      <w:spacing w:before="360" w:after="200"/>
      <w:outlineLvl w:val="0"/>
    </w:pPr>
    <w:rPr>
      <w:rFonts w:ascii="Arial" w:hAnsi="Arial" w:eastAsia="Arial" w:cs="Arial"/>
      <w:b/>
      <w:bCs/>
      <w:color w:val="000000"/>
      <w:sz w:val="24"/>
      <w:szCs w:val="24"/>
    </w:rPr>
  </w:style>
  <w:style w:type="paragraph" w:styleId="4">
    <w:name w:val="heading 2"/>
    <w:basedOn w:val="1"/>
    <w:next w:val="1"/>
    <w:link w:val="139"/>
    <w:unhideWhenUsed/>
    <w:qFormat/>
    <w:uiPriority w:val="9"/>
    <w:pPr>
      <w:keepNext/>
      <w:keepLines/>
      <w:spacing w:before="280" w:after="140"/>
      <w:outlineLvl w:val="1"/>
    </w:pPr>
    <w:rPr>
      <w:rFonts w:ascii="Arial" w:hAnsi="Arial" w:eastAsia="Arial" w:cs="Arial"/>
      <w:b/>
      <w:bCs/>
      <w:color w:val="000000"/>
      <w:sz w:val="24"/>
      <w:szCs w:val="24"/>
    </w:rPr>
  </w:style>
  <w:style w:type="paragraph" w:styleId="5">
    <w:name w:val="heading 3"/>
    <w:basedOn w:val="1"/>
    <w:next w:val="1"/>
    <w:link w:val="140"/>
    <w:unhideWhenUsed/>
    <w:qFormat/>
    <w:uiPriority w:val="9"/>
    <w:pPr>
      <w:keepNext/>
      <w:keepLines/>
      <w:spacing w:before="200" w:after="100"/>
      <w:outlineLvl w:val="2"/>
    </w:pPr>
    <w:rPr>
      <w:rFonts w:ascii="Arial" w:hAnsi="Arial" w:eastAsia="Arial" w:cs="Arial"/>
      <w:b/>
      <w:bCs/>
      <w:color w:val="000000"/>
      <w:sz w:val="24"/>
      <w:szCs w:val="24"/>
    </w:rPr>
  </w:style>
  <w:style w:type="paragraph" w:styleId="6">
    <w:name w:val="heading 4"/>
    <w:basedOn w:val="1"/>
    <w:next w:val="1"/>
    <w:link w:val="150"/>
    <w:semiHidden/>
    <w:unhideWhenUsed/>
    <w:qFormat/>
    <w:uiPriority w:val="9"/>
    <w:pPr>
      <w:keepNext/>
      <w:keepLines/>
      <w:spacing w:before="200" w:after="0"/>
      <w:outlineLvl w:val="3"/>
    </w:pPr>
    <w:rPr>
      <w:rFonts w:ascii="Arial" w:hAnsi="Arial" w:eastAsia="Arial" w:cs="Arial"/>
      <w:b/>
      <w:bCs/>
      <w:i/>
      <w:iCs/>
      <w:color w:val="000000"/>
      <w:sz w:val="24"/>
      <w:szCs w:val="24"/>
    </w:rPr>
  </w:style>
  <w:style w:type="paragraph" w:styleId="7">
    <w:name w:val="heading 5"/>
    <w:basedOn w:val="1"/>
    <w:next w:val="1"/>
    <w:link w:val="151"/>
    <w:semiHidden/>
    <w:unhideWhenUsed/>
    <w:qFormat/>
    <w:uiPriority w:val="9"/>
    <w:pPr>
      <w:keepNext/>
      <w:keepLines/>
      <w:spacing w:before="200" w:after="0"/>
      <w:outlineLvl w:val="4"/>
    </w:pPr>
    <w:rPr>
      <w:rFonts w:ascii="Arial" w:hAnsi="Arial" w:eastAsia="Arial" w:cs="Arial"/>
      <w:color w:val="000000"/>
      <w:sz w:val="24"/>
      <w:szCs w:val="24"/>
    </w:rPr>
  </w:style>
  <w:style w:type="paragraph" w:styleId="8">
    <w:name w:val="heading 6"/>
    <w:basedOn w:val="1"/>
    <w:next w:val="1"/>
    <w:link w:val="152"/>
    <w:semiHidden/>
    <w:unhideWhenUsed/>
    <w:qFormat/>
    <w:uiPriority w:val="9"/>
    <w:pPr>
      <w:keepNext/>
      <w:keepLines/>
      <w:spacing w:before="200" w:after="0"/>
      <w:outlineLvl w:val="5"/>
    </w:pPr>
    <w:rPr>
      <w:rFonts w:ascii="Arial" w:hAnsi="Arial" w:eastAsia="Arial" w:cs="Arial"/>
      <w:i/>
      <w:iCs/>
      <w:color w:val="000000"/>
      <w:sz w:val="24"/>
      <w:szCs w:val="24"/>
    </w:rPr>
  </w:style>
  <w:style w:type="paragraph" w:styleId="9">
    <w:name w:val="heading 7"/>
    <w:basedOn w:val="1"/>
    <w:next w:val="1"/>
    <w:link w:val="153"/>
    <w:semiHidden/>
    <w:unhideWhenUsed/>
    <w:qFormat/>
    <w:uiPriority w:val="9"/>
    <w:pPr>
      <w:keepNext/>
      <w:keepLines/>
      <w:spacing w:before="200" w:after="0"/>
      <w:outlineLvl w:val="6"/>
    </w:pPr>
    <w:rPr>
      <w:rFonts w:ascii="Arial" w:hAnsi="Arial" w:eastAsia="Arial" w:cs="Arial"/>
      <w:i/>
      <w:iCs/>
      <w:color w:val="000000"/>
      <w:sz w:val="24"/>
      <w:szCs w:val="24"/>
    </w:rPr>
  </w:style>
  <w:style w:type="paragraph" w:styleId="10">
    <w:name w:val="heading 8"/>
    <w:basedOn w:val="1"/>
    <w:next w:val="1"/>
    <w:link w:val="154"/>
    <w:semiHidden/>
    <w:unhideWhenUsed/>
    <w:qFormat/>
    <w:uiPriority w:val="9"/>
    <w:pPr>
      <w:keepNext/>
      <w:keepLines/>
      <w:spacing w:before="200" w:after="0"/>
      <w:outlineLvl w:val="7"/>
    </w:pPr>
    <w:rPr>
      <w:rFonts w:ascii="Arial" w:hAnsi="Arial" w:eastAsia="Arial" w:cs="Arial"/>
      <w:color w:val="000000"/>
      <w:sz w:val="24"/>
      <w:szCs w:val="24"/>
    </w:rPr>
  </w:style>
  <w:style w:type="paragraph" w:styleId="11">
    <w:name w:val="heading 9"/>
    <w:basedOn w:val="1"/>
    <w:next w:val="1"/>
    <w:link w:val="155"/>
    <w:semiHidden/>
    <w:unhideWhenUsed/>
    <w:qFormat/>
    <w:uiPriority w:val="9"/>
    <w:pPr>
      <w:keepNext/>
      <w:keepLines/>
      <w:spacing w:before="200" w:after="0"/>
      <w:outlineLvl w:val="8"/>
    </w:pPr>
    <w:rPr>
      <w:rFonts w:ascii="Arial" w:hAnsi="Arial" w:eastAsia="Arial" w:cs="Arial"/>
      <w:i/>
      <w:iCs/>
      <w:color w:val="000000"/>
      <w:sz w:val="24"/>
      <w:szCs w:val="24"/>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Arial" w:hAnsi="Arial" w:eastAsia="Arial" w:cs="Arial"/>
      <w:color w:val="000000"/>
      <w:sz w:val="24"/>
      <w:szCs w:val="24"/>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Arial" w:hAnsi="Arial" w:eastAsia="Arial" w:cs="Arial"/>
      <w:b/>
      <w:bCs/>
      <w:color w:val="000000"/>
      <w:sz w:val="24"/>
      <w:szCs w:val="24"/>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rFonts w:ascii="Arial" w:hAnsi="Arial" w:eastAsia="Arial" w:cs="Arial"/>
      <w:color w:val="000000"/>
      <w:sz w:val="24"/>
      <w:szCs w:val="24"/>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Arial" w:hAnsi="Arial" w:eastAsia="Arial" w:cs="Arial"/>
      <w:i/>
      <w:iCs/>
      <w:color w:val="000000"/>
      <w:spacing w:val="15"/>
      <w:sz w:val="24"/>
      <w:szCs w:val="24"/>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Arial" w:hAnsi="Arial" w:eastAsia="Arial" w:cs="Arial"/>
      <w:color w:val="000000"/>
      <w:spacing w:val="5"/>
      <w:kern w:val="28"/>
      <w:sz w:val="24"/>
      <w:szCs w:val="24"/>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rFonts w:ascii="Arial" w:hAnsi="Arial" w:eastAsia="Arial" w:cs="Arial"/>
      <w:color w:val="000000"/>
      <w:sz w:val="24"/>
      <w:szCs w:val="24"/>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rFonts w:ascii="Arial" w:hAnsi="Arial" w:eastAsia="Arial" w:cs="Arial"/>
      <w:color w:val="000000"/>
      <w:sz w:val="24"/>
      <w:szCs w:val="24"/>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rFonts w:ascii="Arial" w:hAnsi="Arial" w:eastAsia="Arial" w:cs="Arial"/>
      <w:color w:val="000000"/>
      <w:sz w:val="24"/>
      <w:szCs w:val="24"/>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rFonts w:ascii="Arial" w:hAnsi="Arial" w:eastAsia="Arial" w:cs="Arial"/>
      <w:color w:val="000000"/>
      <w:sz w:val="24"/>
      <w:szCs w:val="24"/>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rFonts w:ascii="Arial" w:hAnsi="Arial" w:eastAsia="Arial" w:cs="Arial"/>
      <w:color w:val="000000"/>
      <w:sz w:val="24"/>
      <w:szCs w:val="24"/>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rFonts w:ascii="Arial" w:hAnsi="Arial" w:eastAsia="Arial" w:cs="Arial"/>
      <w:color w:val="000000"/>
      <w:sz w:val="24"/>
      <w:szCs w:val="24"/>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rFonts w:ascii="Arial" w:hAnsi="Arial" w:eastAsia="Arial" w:cs="Arial"/>
      <w:color w:val="000000"/>
      <w:sz w:val="24"/>
      <w:szCs w:val="24"/>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rFonts w:ascii="Arial" w:hAnsi="Arial" w:eastAsia="Arial" w:cs="Arial"/>
      <w:color w:val="000000"/>
      <w:sz w:val="24"/>
      <w:szCs w:val="24"/>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rFonts w:ascii="Arial" w:hAnsi="Arial" w:eastAsia="Arial" w:cs="Arial"/>
      <w:color w:val="000000"/>
      <w:sz w:val="24"/>
      <w:szCs w:val="24"/>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rFonts w:ascii="Arial" w:hAnsi="Arial" w:eastAsia="Arial" w:cs="Arial"/>
      <w:color w:val="000000"/>
      <w:sz w:val="24"/>
      <w:szCs w:val="24"/>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rFonts w:ascii="Arial" w:hAnsi="Arial" w:eastAsia="Arial" w:cs="Arial"/>
      <w:color w:val="000000"/>
      <w:sz w:val="24"/>
      <w:szCs w:val="24"/>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rFonts w:ascii="Arial" w:hAnsi="Arial" w:eastAsia="Arial" w:cs="Arial"/>
      <w:color w:val="000000"/>
      <w:sz w:val="24"/>
      <w:szCs w:val="24"/>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rFonts w:ascii="Arial" w:hAnsi="Arial" w:eastAsia="Arial" w:cs="Arial"/>
      <w:color w:val="000000"/>
      <w:sz w:val="24"/>
      <w:szCs w:val="24"/>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rFonts w:ascii="Arial" w:hAnsi="Arial" w:eastAsia="Arial" w:cs="Arial"/>
      <w:color w:val="000000"/>
      <w:sz w:val="24"/>
      <w:szCs w:val="24"/>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Arial" w:hAnsi="Arial" w:eastAsia="Arial" w:cs="Arial"/>
      <w:color w:val="000000"/>
      <w:sz w:val="24"/>
      <w:szCs w:val="24"/>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Arial" w:hAnsi="Arial" w:eastAsia="Arial" w:cs="Arial"/>
      <w:color w:val="000000"/>
      <w:sz w:val="24"/>
      <w:szCs w:val="24"/>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Arial" w:hAnsi="Arial" w:eastAsia="Arial" w:cs="Arial"/>
      <w:color w:val="000000"/>
      <w:sz w:val="24"/>
      <w:szCs w:val="24"/>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Arial" w:hAnsi="Arial" w:eastAsia="Arial" w:cs="Arial"/>
      <w:color w:val="000000"/>
      <w:sz w:val="24"/>
      <w:szCs w:val="24"/>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Arial" w:hAnsi="Arial" w:eastAsia="Arial" w:cs="Arial"/>
      <w:color w:val="000000"/>
      <w:sz w:val="24"/>
      <w:szCs w:val="24"/>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Arial" w:hAnsi="Arial" w:eastAsia="Arial" w:cs="Arial"/>
      <w:color w:val="000000"/>
      <w:sz w:val="24"/>
      <w:szCs w:val="24"/>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Arial" w:hAnsi="Arial" w:eastAsia="Arial" w:cs="Arial"/>
      <w:color w:val="000000"/>
      <w:sz w:val="24"/>
      <w:szCs w:val="24"/>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Arial" w:hAnsi="Arial" w:eastAsia="Arial" w:cs="Arial"/>
      <w:color w:val="000000"/>
      <w:sz w:val="24"/>
      <w:szCs w:val="24"/>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Arial" w:hAnsi="Arial" w:eastAsia="Arial" w:cs="Arial"/>
      <w:color w:val="000000"/>
      <w:sz w:val="24"/>
      <w:szCs w:val="24"/>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Arial" w:hAnsi="Arial" w:eastAsia="Arial" w:cs="Arial"/>
      <w:color w:val="000000"/>
      <w:sz w:val="24"/>
      <w:szCs w:val="24"/>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Arial" w:hAnsi="Arial" w:eastAsia="Arial" w:cs="Arial"/>
      <w:color w:val="000000"/>
      <w:sz w:val="24"/>
      <w:szCs w:val="24"/>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Arial" w:hAnsi="Arial" w:eastAsia="Arial" w:cs="Arial"/>
      <w:color w:val="000000"/>
      <w:sz w:val="24"/>
      <w:szCs w:val="24"/>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Arial" w:hAnsi="Arial" w:eastAsia="Arial" w:cs="Arial"/>
      <w:color w:val="000000"/>
      <w:sz w:val="24"/>
      <w:szCs w:val="24"/>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Arial" w:hAnsi="Arial" w:eastAsia="Arial" w:cs="Arial"/>
      <w:color w:val="000000"/>
      <w:sz w:val="24"/>
      <w:szCs w:val="24"/>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rFonts w:ascii="Arial" w:hAnsi="Arial" w:eastAsia="Arial" w:cs="Arial"/>
      <w:color w:val="000000"/>
      <w:sz w:val="24"/>
      <w:szCs w:val="24"/>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rFonts w:ascii="Arial" w:hAnsi="Arial" w:eastAsia="Arial" w:cs="Arial"/>
      <w:color w:val="000000"/>
      <w:sz w:val="24"/>
      <w:szCs w:val="24"/>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rFonts w:ascii="Arial" w:hAnsi="Arial" w:eastAsia="Arial" w:cs="Arial"/>
      <w:color w:val="000000"/>
      <w:sz w:val="24"/>
      <w:szCs w:val="24"/>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rFonts w:ascii="Arial" w:hAnsi="Arial" w:eastAsia="Arial" w:cs="Arial"/>
      <w:color w:val="000000"/>
      <w:sz w:val="24"/>
      <w:szCs w:val="24"/>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rFonts w:ascii="Arial" w:hAnsi="Arial" w:eastAsia="Arial" w:cs="Arial"/>
      <w:color w:val="000000"/>
      <w:sz w:val="24"/>
      <w:szCs w:val="24"/>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rFonts w:ascii="Arial" w:hAnsi="Arial" w:eastAsia="Arial" w:cs="Arial"/>
      <w:color w:val="000000"/>
      <w:sz w:val="24"/>
      <w:szCs w:val="24"/>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rFonts w:ascii="Arial" w:hAnsi="Arial" w:eastAsia="Arial" w:cs="Arial"/>
      <w:color w:val="000000"/>
      <w:sz w:val="24"/>
      <w:szCs w:val="24"/>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Arial" w:hAnsi="Arial" w:eastAsia="Arial" w:cs="Arial"/>
      <w:b/>
      <w:bCs/>
      <w:color w:val="000000"/>
      <w:sz w:val="24"/>
      <w:szCs w:val="24"/>
    </w:rPr>
  </w:style>
  <w:style w:type="character" w:styleId="134">
    <w:name w:val="Emphasis"/>
    <w:basedOn w:val="132"/>
    <w:qFormat/>
    <w:uiPriority w:val="20"/>
    <w:rPr>
      <w:rFonts w:ascii="Arial" w:hAnsi="Arial" w:eastAsia="Arial" w:cs="Arial"/>
      <w:i/>
      <w:iCs/>
      <w:color w:val="000000"/>
      <w:sz w:val="24"/>
      <w:szCs w:val="24"/>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Arial" w:hAnsi="Arial" w:eastAsia="Arial" w:cs="Arial"/>
      <w:color w:val="000000"/>
      <w:sz w:val="24"/>
      <w:szCs w:val="24"/>
      <w:lang w:val="en-US" w:eastAsia="en-US" w:bidi="ar-SA"/>
    </w:rPr>
  </w:style>
  <w:style w:type="character" w:customStyle="1" w:styleId="138">
    <w:name w:val="Heading 1 Char"/>
    <w:basedOn w:val="132"/>
    <w:link w:val="3"/>
    <w:qFormat/>
    <w:uiPriority w:val="9"/>
    <w:rPr>
      <w:rFonts w:ascii="Arial" w:hAnsi="Arial" w:eastAsia="Arial" w:cs="Arial"/>
      <w:b/>
      <w:bCs/>
      <w:color w:val="000000"/>
      <w:sz w:val="24"/>
      <w:szCs w:val="24"/>
    </w:rPr>
  </w:style>
  <w:style w:type="character" w:customStyle="1" w:styleId="139">
    <w:name w:val="Heading 2 Char"/>
    <w:basedOn w:val="132"/>
    <w:link w:val="4"/>
    <w:uiPriority w:val="9"/>
    <w:rPr>
      <w:rFonts w:ascii="Arial" w:hAnsi="Arial" w:eastAsia="Arial" w:cs="Arial"/>
      <w:b/>
      <w:bCs/>
      <w:color w:val="000000"/>
      <w:sz w:val="24"/>
      <w:szCs w:val="24"/>
    </w:rPr>
  </w:style>
  <w:style w:type="character" w:customStyle="1" w:styleId="140">
    <w:name w:val="Heading 3 Char"/>
    <w:basedOn w:val="132"/>
    <w:link w:val="5"/>
    <w:qFormat/>
    <w:uiPriority w:val="9"/>
    <w:rPr>
      <w:rFonts w:ascii="Arial" w:hAnsi="Arial" w:eastAsia="Arial" w:cs="Arial"/>
      <w:b/>
      <w:bCs/>
      <w:color w:val="000000"/>
      <w:sz w:val="24"/>
      <w:szCs w:val="24"/>
    </w:rPr>
  </w:style>
  <w:style w:type="character" w:customStyle="1" w:styleId="141">
    <w:name w:val="Title Char"/>
    <w:basedOn w:val="132"/>
    <w:link w:val="31"/>
    <w:uiPriority w:val="10"/>
    <w:rPr>
      <w:rFonts w:ascii="Arial" w:hAnsi="Arial" w:eastAsia="Arial" w:cs="Arial"/>
      <w:color w:val="000000"/>
      <w:spacing w:val="5"/>
      <w:kern w:val="28"/>
      <w:sz w:val="24"/>
      <w:szCs w:val="24"/>
    </w:rPr>
  </w:style>
  <w:style w:type="character" w:customStyle="1" w:styleId="142">
    <w:name w:val="Subtitle Char"/>
    <w:basedOn w:val="132"/>
    <w:link w:val="26"/>
    <w:qFormat/>
    <w:uiPriority w:val="11"/>
    <w:rPr>
      <w:rFonts w:ascii="Arial" w:hAnsi="Arial" w:eastAsia="Arial" w:cs="Arial"/>
      <w:i/>
      <w:iCs/>
      <w:color w:val="000000"/>
      <w:spacing w:val="15"/>
      <w:sz w:val="24"/>
      <w:szCs w:val="24"/>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rFonts w:ascii="Arial" w:hAnsi="Arial" w:eastAsia="Arial" w:cs="Arial"/>
      <w:color w:val="000000"/>
      <w:sz w:val="24"/>
      <w:szCs w:val="24"/>
    </w:rPr>
  </w:style>
  <w:style w:type="character" w:customStyle="1" w:styleId="147">
    <w:name w:val="Macro Text Char"/>
    <w:basedOn w:val="132"/>
    <w:link w:val="2"/>
    <w:qFormat/>
    <w:uiPriority w:val="99"/>
    <w:rPr>
      <w:rFonts w:ascii="Arial" w:hAnsi="Arial" w:eastAsia="Arial" w:cs="Arial"/>
      <w:color w:val="000000"/>
      <w:sz w:val="24"/>
      <w:szCs w:val="24"/>
    </w:rPr>
  </w:style>
  <w:style w:type="paragraph" w:styleId="148">
    <w:name w:val="Quote"/>
    <w:basedOn w:val="1"/>
    <w:next w:val="1"/>
    <w:link w:val="149"/>
    <w:qFormat/>
    <w:uiPriority w:val="29"/>
    <w:rPr>
      <w:rFonts w:ascii="Arial" w:hAnsi="Arial" w:eastAsia="Arial" w:cs="Arial"/>
      <w:i/>
      <w:iCs/>
      <w:color w:val="000000"/>
      <w:sz w:val="24"/>
      <w:szCs w:val="24"/>
    </w:rPr>
  </w:style>
  <w:style w:type="character" w:customStyle="1" w:styleId="149">
    <w:name w:val="Quote Char"/>
    <w:basedOn w:val="132"/>
    <w:link w:val="148"/>
    <w:qFormat/>
    <w:uiPriority w:val="29"/>
    <w:rPr>
      <w:rFonts w:ascii="Arial" w:hAnsi="Arial" w:eastAsia="Arial" w:cs="Arial"/>
      <w:i/>
      <w:iCs/>
      <w:color w:val="000000"/>
      <w:sz w:val="24"/>
      <w:szCs w:val="24"/>
    </w:rPr>
  </w:style>
  <w:style w:type="character" w:customStyle="1" w:styleId="150">
    <w:name w:val="Heading 4 Char"/>
    <w:basedOn w:val="132"/>
    <w:link w:val="6"/>
    <w:semiHidden/>
    <w:qFormat/>
    <w:uiPriority w:val="9"/>
    <w:rPr>
      <w:rFonts w:ascii="Arial" w:hAnsi="Arial" w:eastAsia="Arial" w:cs="Arial"/>
      <w:b/>
      <w:bCs/>
      <w:i/>
      <w:iCs/>
      <w:color w:val="000000"/>
      <w:sz w:val="24"/>
      <w:szCs w:val="24"/>
    </w:rPr>
  </w:style>
  <w:style w:type="character" w:customStyle="1" w:styleId="151">
    <w:name w:val="Heading 5 Char"/>
    <w:basedOn w:val="132"/>
    <w:link w:val="7"/>
    <w:semiHidden/>
    <w:qFormat/>
    <w:uiPriority w:val="9"/>
    <w:rPr>
      <w:rFonts w:ascii="Arial" w:hAnsi="Arial" w:eastAsia="Arial" w:cs="Arial"/>
      <w:color w:val="000000"/>
      <w:sz w:val="24"/>
      <w:szCs w:val="24"/>
    </w:rPr>
  </w:style>
  <w:style w:type="character" w:customStyle="1" w:styleId="152">
    <w:name w:val="Heading 6 Char"/>
    <w:basedOn w:val="132"/>
    <w:link w:val="8"/>
    <w:semiHidden/>
    <w:qFormat/>
    <w:uiPriority w:val="9"/>
    <w:rPr>
      <w:rFonts w:ascii="Arial" w:hAnsi="Arial" w:eastAsia="Arial" w:cs="Arial"/>
      <w:i/>
      <w:iCs/>
      <w:color w:val="000000"/>
      <w:sz w:val="24"/>
      <w:szCs w:val="24"/>
    </w:rPr>
  </w:style>
  <w:style w:type="character" w:customStyle="1" w:styleId="153">
    <w:name w:val="Heading 7 Char"/>
    <w:basedOn w:val="132"/>
    <w:link w:val="9"/>
    <w:semiHidden/>
    <w:qFormat/>
    <w:uiPriority w:val="9"/>
    <w:rPr>
      <w:rFonts w:ascii="Arial" w:hAnsi="Arial" w:eastAsia="Arial" w:cs="Arial"/>
      <w:i/>
      <w:iCs/>
      <w:color w:val="000000"/>
      <w:sz w:val="24"/>
      <w:szCs w:val="24"/>
    </w:rPr>
  </w:style>
  <w:style w:type="character" w:customStyle="1" w:styleId="154">
    <w:name w:val="Heading 8 Char"/>
    <w:basedOn w:val="132"/>
    <w:link w:val="10"/>
    <w:semiHidden/>
    <w:qFormat/>
    <w:uiPriority w:val="9"/>
    <w:rPr>
      <w:rFonts w:ascii="Arial" w:hAnsi="Arial" w:eastAsia="Arial" w:cs="Arial"/>
      <w:color w:val="000000"/>
      <w:sz w:val="24"/>
      <w:szCs w:val="24"/>
    </w:rPr>
  </w:style>
  <w:style w:type="character" w:customStyle="1" w:styleId="155">
    <w:name w:val="Heading 9 Char"/>
    <w:basedOn w:val="132"/>
    <w:link w:val="11"/>
    <w:semiHidden/>
    <w:qFormat/>
    <w:uiPriority w:val="9"/>
    <w:rPr>
      <w:rFonts w:ascii="Arial" w:hAnsi="Arial" w:eastAsia="Arial" w:cs="Arial"/>
      <w:i/>
      <w:iCs/>
      <w:color w:val="000000"/>
      <w:sz w:val="24"/>
      <w:szCs w:val="24"/>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rFonts w:ascii="Arial" w:hAnsi="Arial" w:eastAsia="Arial" w:cs="Arial"/>
      <w:b/>
      <w:bCs/>
      <w:i/>
      <w:iCs/>
      <w:color w:val="000000"/>
      <w:sz w:val="24"/>
      <w:szCs w:val="24"/>
    </w:rPr>
  </w:style>
  <w:style w:type="character" w:customStyle="1" w:styleId="157">
    <w:name w:val="Intense Quote Char"/>
    <w:basedOn w:val="132"/>
    <w:link w:val="156"/>
    <w:qFormat/>
    <w:uiPriority w:val="30"/>
    <w:rPr>
      <w:rFonts w:ascii="Arial" w:hAnsi="Arial" w:eastAsia="Arial" w:cs="Arial"/>
      <w:b/>
      <w:bCs/>
      <w:i/>
      <w:iCs/>
      <w:color w:val="000000"/>
      <w:sz w:val="24"/>
      <w:szCs w:val="24"/>
    </w:rPr>
  </w:style>
  <w:style w:type="character" w:customStyle="1" w:styleId="158">
    <w:name w:val="Subtle Emphasis"/>
    <w:basedOn w:val="132"/>
    <w:qFormat/>
    <w:uiPriority w:val="19"/>
    <w:rPr>
      <w:rFonts w:ascii="Arial" w:hAnsi="Arial" w:eastAsia="Arial" w:cs="Arial"/>
      <w:i/>
      <w:iCs/>
      <w:color w:val="000000"/>
      <w:sz w:val="24"/>
      <w:szCs w:val="24"/>
    </w:rPr>
  </w:style>
  <w:style w:type="character" w:customStyle="1" w:styleId="159">
    <w:name w:val="Intense Emphasis"/>
    <w:basedOn w:val="132"/>
    <w:qFormat/>
    <w:uiPriority w:val="21"/>
    <w:rPr>
      <w:rFonts w:ascii="Arial" w:hAnsi="Arial" w:eastAsia="Arial" w:cs="Arial"/>
      <w:b/>
      <w:bCs/>
      <w:i/>
      <w:iCs/>
      <w:color w:val="000000"/>
      <w:sz w:val="24"/>
      <w:szCs w:val="24"/>
    </w:rPr>
  </w:style>
  <w:style w:type="character" w:customStyle="1" w:styleId="160">
    <w:name w:val="Subtle Reference"/>
    <w:basedOn w:val="132"/>
    <w:qFormat/>
    <w:uiPriority w:val="31"/>
    <w:rPr>
      <w:rFonts w:ascii="Arial" w:hAnsi="Arial" w:eastAsia="Arial" w:cs="Arial"/>
      <w:smallCaps/>
      <w:color w:val="000000"/>
      <w:sz w:val="24"/>
      <w:szCs w:val="24"/>
      <w:u w:val="single"/>
    </w:rPr>
  </w:style>
  <w:style w:type="character" w:customStyle="1" w:styleId="161">
    <w:name w:val="Intense Reference"/>
    <w:basedOn w:val="132"/>
    <w:qFormat/>
    <w:uiPriority w:val="32"/>
    <w:rPr>
      <w:rFonts w:ascii="Arial" w:hAnsi="Arial" w:eastAsia="Arial" w:cs="Arial"/>
      <w:b/>
      <w:bCs/>
      <w:smallCaps/>
      <w:color w:val="000000"/>
      <w:spacing w:val="5"/>
      <w:sz w:val="24"/>
      <w:szCs w:val="24"/>
      <w:u w:val="single"/>
    </w:rPr>
  </w:style>
  <w:style w:type="character" w:customStyle="1" w:styleId="162">
    <w:name w:val="Book Title"/>
    <w:basedOn w:val="132"/>
    <w:qFormat/>
    <w:uiPriority w:val="33"/>
    <w:rPr>
      <w:rFonts w:ascii="Arial" w:hAnsi="Arial" w:eastAsia="Arial" w:cs="Arial"/>
      <w:b/>
      <w:bCs/>
      <w:smallCaps/>
      <w:color w:val="000000"/>
      <w:spacing w:val="5"/>
      <w:sz w:val="24"/>
      <w:szCs w:val="24"/>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1734</Words>
  <Characters>11635</Characters>
  <Lines>0</Lines>
  <Paragraphs>0</Paragraphs>
  <TotalTime>5</TotalTime>
  <ScaleCrop>false</ScaleCrop>
  <LinksUpToDate>false</LinksUpToDate>
  <CharactersWithSpaces>13299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WPS_1695207348</cp:lastModifiedBy>
  <dcterms:created xsi:type="dcterms:W3CDTF">2013-12-23T23:15:00Z</dcterms:created>
  <dcterms:modified xsi:type="dcterms:W3CDTF">2026-09-07T13:35:33Z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eyJoZGlkIjoiMWMzOTVlMGM3YmYzMzQzZTFjMDE5ZDM4YTgyOGI4YmMiLCJ1c2VySWQiOiIxNTMzNjY5Mzk2In0=</vt:lpwstr>
  </property>
  <property fmtid="{D5CDD505-2E9C-101B-9397-08002B2CF9AE}" pid="3" name="KSOProductBuildVer">
    <vt:lpwstr>2052-12.1.0.28505</vt:lpwstr>
  </property>
  <property fmtid="{D5CDD505-2E9C-101B-9397-08002B2CF9AE}" pid="4" name="ICV">
    <vt:lpwstr>5DA7C037F3F04280AE7187DF76F747B7_12</vt:lpwstr>
  </property>
</Properties>
</file>