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6C025">
      <w:pPr>
        <w:spacing w:before="0" w:after="40"/>
      </w:pPr>
      <w:r>
        <w:rPr>
          <w:rFonts w:ascii="Arial" w:hAnsi="Arial" w:eastAsia="Arial" w:cs="Arial"/>
          <w:b/>
          <w:color w:val="000000"/>
          <w:sz w:val="24"/>
          <w:szCs w:val="24"/>
        </w:rPr>
        <w:t>Summary of findings</w:t>
      </w:r>
    </w:p>
    <w:p w14:paraId="4703B155">
      <w:pPr>
        <w:spacing w:before="0" w:after="140"/>
      </w:pPr>
      <w:r>
        <w:rPr>
          <w:rFonts w:ascii="Arial" w:hAnsi="Arial" w:eastAsia="Arial" w:cs="Arial"/>
          <w:color w:val="000000"/>
          <w:sz w:val="24"/>
          <w:szCs w:val="24"/>
        </w:rPr>
        <w:t>Closed-incision negative-pressure wound therapy (ciNPWT) compared with standard dressing after pelvic and lower-extremity fracture surgery</w:t>
      </w:r>
    </w:p>
    <w:tbl>
      <w:tblPr>
        <w:tblStyle w:val="33"/>
        <w:tblW w:w="14630" w:type="dxa"/>
        <w:tblInd w:w="80" w:type="dxa"/>
        <w:tblBorders>
          <w:top w:val="single" w:color="CBD5E1" w:sz="4" w:space="0"/>
          <w:left w:val="single" w:color="CBD5E1" w:sz="4" w:space="0"/>
          <w:bottom w:val="single" w:color="CBD5E1" w:sz="4" w:space="0"/>
          <w:right w:val="single" w:color="CBD5E1" w:sz="4" w:space="0"/>
          <w:insideH w:val="single" w:color="CBD5E1" w:sz="4" w:space="0"/>
          <w:insideV w:val="single" w:color="CBD5E1" w:sz="4" w:space="0"/>
        </w:tblBorders>
        <w:tblLayout w:type="fixed"/>
        <w:tblCellMar>
          <w:top w:w="0" w:type="dxa"/>
          <w:left w:w="108" w:type="dxa"/>
          <w:bottom w:w="0" w:type="dxa"/>
          <w:right w:w="108" w:type="dxa"/>
        </w:tblCellMar>
      </w:tblPr>
      <w:tblGrid>
        <w:gridCol w:w="2050"/>
        <w:gridCol w:w="1030"/>
        <w:gridCol w:w="1700"/>
        <w:gridCol w:w="1150"/>
        <w:gridCol w:w="1710"/>
        <w:gridCol w:w="1800"/>
        <w:gridCol w:w="1040"/>
        <w:gridCol w:w="4150"/>
      </w:tblGrid>
      <w:tr w14:paraId="1AC8E1CA">
        <w:tblPrEx>
          <w:tblBorders>
            <w:top w:val="single" w:color="CBD5E1" w:sz="4" w:space="0"/>
            <w:left w:val="single" w:color="CBD5E1" w:sz="4" w:space="0"/>
            <w:bottom w:val="single" w:color="CBD5E1" w:sz="4" w:space="0"/>
            <w:right w:val="single" w:color="CBD5E1" w:sz="4" w:space="0"/>
            <w:insideH w:val="single" w:color="CBD5E1" w:sz="4" w:space="0"/>
            <w:insideV w:val="single" w:color="CBD5E1" w:sz="4" w:space="0"/>
          </w:tblBorders>
          <w:tblCellMar>
            <w:top w:w="0" w:type="dxa"/>
            <w:left w:w="108" w:type="dxa"/>
            <w:bottom w:w="0" w:type="dxa"/>
            <w:right w:w="108" w:type="dxa"/>
          </w:tblCellMar>
        </w:tblPrEx>
        <w:trPr>
          <w:tblHeader/>
          <w:cantSplit/>
          <w:tblHeader/>
        </w:trPr>
        <w:tc>
          <w:tcPr>
            <w:tcW w:w="2050" w:type="dxa"/>
            <w:shd w:val="clear" w:color="auto" w:fill="auto"/>
            <w:tcMar>
              <w:top w:w="50" w:type="dxa"/>
              <w:left w:w="80" w:type="dxa"/>
              <w:bottom w:w="50" w:type="dxa"/>
              <w:right w:w="80" w:type="dxa"/>
            </w:tcMar>
            <w:vAlign w:val="center"/>
          </w:tcPr>
          <w:p w14:paraId="6D176FAD">
            <w:pPr>
              <w:spacing w:before="0" w:after="0" w:line="240" w:lineRule="auto"/>
              <w:jc w:val="center"/>
            </w:pPr>
            <w:r>
              <w:rPr>
                <w:rFonts w:ascii="Arial" w:hAnsi="Arial" w:eastAsia="Arial" w:cs="Arial"/>
                <w:b/>
                <w:color w:val="000000"/>
                <w:sz w:val="24"/>
                <w:szCs w:val="24"/>
              </w:rPr>
              <w:t>Outcome</w:t>
            </w:r>
            <w:r>
              <w:rPr>
                <w:rFonts w:ascii="Arial" w:hAnsi="Arial" w:eastAsia="Arial" w:cs="Arial"/>
                <w:color w:val="000000"/>
                <w:sz w:val="24"/>
                <w:szCs w:val="24"/>
              </w:rPr>
              <w:br w:type="textWrapping"/>
            </w:r>
            <w:r>
              <w:rPr>
                <w:rFonts w:ascii="Arial" w:hAnsi="Arial" w:eastAsia="Arial" w:cs="Arial"/>
                <w:b/>
                <w:color w:val="000000"/>
                <w:sz w:val="24"/>
                <w:szCs w:val="24"/>
              </w:rPr>
              <w:t>(importance)</w:t>
            </w:r>
          </w:p>
        </w:tc>
        <w:tc>
          <w:tcPr>
            <w:tcW w:w="1030" w:type="dxa"/>
            <w:shd w:val="clear" w:color="auto" w:fill="auto"/>
            <w:tcMar>
              <w:top w:w="50" w:type="dxa"/>
              <w:left w:w="80" w:type="dxa"/>
              <w:bottom w:w="50" w:type="dxa"/>
              <w:right w:w="80" w:type="dxa"/>
            </w:tcMar>
            <w:vAlign w:val="center"/>
          </w:tcPr>
          <w:p w14:paraId="7770C733">
            <w:pPr>
              <w:spacing w:before="0" w:after="0" w:line="240" w:lineRule="auto"/>
              <w:jc w:val="center"/>
            </w:pPr>
            <w:r>
              <w:rPr>
                <w:rFonts w:ascii="Arial" w:hAnsi="Arial" w:eastAsia="Arial" w:cs="Arial"/>
                <w:b/>
                <w:color w:val="000000"/>
                <w:sz w:val="24"/>
                <w:szCs w:val="24"/>
              </w:rPr>
              <w:t>Participants</w:t>
            </w:r>
            <w:r>
              <w:rPr>
                <w:rFonts w:ascii="Arial" w:hAnsi="Arial" w:eastAsia="Arial" w:cs="Arial"/>
                <w:color w:val="000000"/>
                <w:sz w:val="24"/>
                <w:szCs w:val="24"/>
              </w:rPr>
              <w:br w:type="textWrapping"/>
            </w:r>
            <w:r>
              <w:rPr>
                <w:rFonts w:ascii="Arial" w:hAnsi="Arial" w:eastAsia="Arial" w:cs="Arial"/>
                <w:b/>
                <w:color w:val="000000"/>
                <w:sz w:val="24"/>
                <w:szCs w:val="24"/>
              </w:rPr>
              <w:t>(studies)</w:t>
            </w:r>
          </w:p>
        </w:tc>
        <w:tc>
          <w:tcPr>
            <w:tcW w:w="1700" w:type="dxa"/>
            <w:shd w:val="clear" w:color="auto" w:fill="auto"/>
            <w:tcMar>
              <w:top w:w="50" w:type="dxa"/>
              <w:left w:w="80" w:type="dxa"/>
              <w:bottom w:w="50" w:type="dxa"/>
              <w:right w:w="80" w:type="dxa"/>
            </w:tcMar>
            <w:vAlign w:val="center"/>
          </w:tcPr>
          <w:p w14:paraId="53FA2766">
            <w:pPr>
              <w:spacing w:before="0" w:after="0" w:line="240" w:lineRule="auto"/>
              <w:jc w:val="center"/>
            </w:pPr>
            <w:r>
              <w:rPr>
                <w:rFonts w:ascii="Arial" w:hAnsi="Arial" w:eastAsia="Arial" w:cs="Arial"/>
                <w:b/>
                <w:color w:val="000000"/>
                <w:sz w:val="24"/>
                <w:szCs w:val="24"/>
              </w:rPr>
              <w:t>Relative or continuous effect</w:t>
            </w:r>
            <w:r>
              <w:rPr>
                <w:rFonts w:ascii="Arial" w:hAnsi="Arial" w:eastAsia="Arial" w:cs="Arial"/>
                <w:color w:val="000000"/>
                <w:sz w:val="24"/>
                <w:szCs w:val="24"/>
              </w:rPr>
              <w:br w:type="textWrapping"/>
            </w:r>
            <w:r>
              <w:rPr>
                <w:rFonts w:ascii="Arial" w:hAnsi="Arial" w:eastAsia="Arial" w:cs="Arial"/>
                <w:b/>
                <w:color w:val="000000"/>
                <w:sz w:val="24"/>
                <w:szCs w:val="24"/>
              </w:rPr>
              <w:t>(95% CI)</w:t>
            </w:r>
          </w:p>
        </w:tc>
        <w:tc>
          <w:tcPr>
            <w:tcW w:w="1150" w:type="dxa"/>
            <w:shd w:val="clear" w:color="auto" w:fill="auto"/>
            <w:tcMar>
              <w:top w:w="50" w:type="dxa"/>
              <w:left w:w="80" w:type="dxa"/>
              <w:bottom w:w="50" w:type="dxa"/>
              <w:right w:w="80" w:type="dxa"/>
            </w:tcMar>
            <w:vAlign w:val="center"/>
          </w:tcPr>
          <w:p w14:paraId="653ACD00">
            <w:pPr>
              <w:spacing w:before="0" w:after="0" w:line="240" w:lineRule="auto"/>
              <w:jc w:val="center"/>
            </w:pPr>
            <w:r>
              <w:rPr>
                <w:rFonts w:ascii="Arial" w:hAnsi="Arial" w:eastAsia="Arial" w:cs="Arial"/>
                <w:b/>
                <w:color w:val="000000"/>
                <w:sz w:val="24"/>
                <w:szCs w:val="24"/>
              </w:rPr>
              <w:t>Risk with standard dressing</w:t>
            </w:r>
          </w:p>
        </w:tc>
        <w:tc>
          <w:tcPr>
            <w:tcW w:w="1710" w:type="dxa"/>
            <w:shd w:val="clear" w:color="auto" w:fill="auto"/>
            <w:tcMar>
              <w:top w:w="50" w:type="dxa"/>
              <w:left w:w="80" w:type="dxa"/>
              <w:bottom w:w="50" w:type="dxa"/>
              <w:right w:w="80" w:type="dxa"/>
            </w:tcMar>
            <w:vAlign w:val="center"/>
          </w:tcPr>
          <w:p w14:paraId="5D5BDBCF">
            <w:pPr>
              <w:spacing w:before="0" w:after="0" w:line="240" w:lineRule="auto"/>
              <w:jc w:val="center"/>
            </w:pPr>
            <w:r>
              <w:rPr>
                <w:rFonts w:ascii="Arial" w:hAnsi="Arial" w:eastAsia="Arial" w:cs="Arial"/>
                <w:b/>
                <w:color w:val="000000"/>
                <w:sz w:val="24"/>
                <w:szCs w:val="24"/>
              </w:rPr>
              <w:t>Risk with ciNPWT</w:t>
            </w:r>
            <w:r>
              <w:rPr>
                <w:rFonts w:ascii="Arial" w:hAnsi="Arial" w:eastAsia="Arial" w:cs="Arial"/>
                <w:color w:val="000000"/>
                <w:sz w:val="24"/>
                <w:szCs w:val="24"/>
              </w:rPr>
              <w:br w:type="textWrapping"/>
            </w:r>
            <w:r>
              <w:rPr>
                <w:rFonts w:ascii="Arial" w:hAnsi="Arial" w:eastAsia="Arial" w:cs="Arial"/>
                <w:b/>
                <w:color w:val="000000"/>
                <w:sz w:val="24"/>
                <w:szCs w:val="24"/>
              </w:rPr>
              <w:t>(95% CI)</w:t>
            </w:r>
          </w:p>
        </w:tc>
        <w:tc>
          <w:tcPr>
            <w:tcW w:w="1800" w:type="dxa"/>
            <w:shd w:val="clear" w:color="auto" w:fill="auto"/>
            <w:tcMar>
              <w:top w:w="50" w:type="dxa"/>
              <w:left w:w="80" w:type="dxa"/>
              <w:bottom w:w="50" w:type="dxa"/>
              <w:right w:w="80" w:type="dxa"/>
            </w:tcMar>
            <w:vAlign w:val="center"/>
          </w:tcPr>
          <w:p w14:paraId="7A8FDAE9">
            <w:pPr>
              <w:spacing w:before="0" w:after="0" w:line="240" w:lineRule="auto"/>
              <w:jc w:val="center"/>
            </w:pPr>
            <w:r>
              <w:rPr>
                <w:rFonts w:ascii="Arial" w:hAnsi="Arial" w:eastAsia="Arial" w:cs="Arial"/>
                <w:b/>
                <w:color w:val="000000"/>
                <w:sz w:val="24"/>
                <w:szCs w:val="24"/>
              </w:rPr>
              <w:t>Absolute effect</w:t>
            </w:r>
            <w:r>
              <w:rPr>
                <w:rFonts w:ascii="Arial" w:hAnsi="Arial" w:eastAsia="Arial" w:cs="Arial"/>
                <w:color w:val="000000"/>
                <w:sz w:val="24"/>
                <w:szCs w:val="24"/>
              </w:rPr>
              <w:br w:type="textWrapping"/>
            </w:r>
            <w:r>
              <w:rPr>
                <w:rFonts w:ascii="Arial" w:hAnsi="Arial" w:eastAsia="Arial" w:cs="Arial"/>
                <w:b/>
                <w:color w:val="000000"/>
                <w:sz w:val="24"/>
                <w:szCs w:val="24"/>
              </w:rPr>
              <w:t>(95% CI)</w:t>
            </w:r>
          </w:p>
        </w:tc>
        <w:tc>
          <w:tcPr>
            <w:tcW w:w="1040" w:type="dxa"/>
            <w:shd w:val="clear" w:color="auto" w:fill="auto"/>
            <w:tcMar>
              <w:top w:w="50" w:type="dxa"/>
              <w:left w:w="80" w:type="dxa"/>
              <w:bottom w:w="50" w:type="dxa"/>
              <w:right w:w="80" w:type="dxa"/>
            </w:tcMar>
            <w:vAlign w:val="center"/>
          </w:tcPr>
          <w:p w14:paraId="2AB13270">
            <w:pPr>
              <w:spacing w:before="0" w:after="0" w:line="240" w:lineRule="auto"/>
              <w:jc w:val="center"/>
            </w:pPr>
            <w:r>
              <w:rPr>
                <w:rFonts w:ascii="Arial" w:hAnsi="Arial" w:eastAsia="Arial" w:cs="Arial"/>
                <w:b/>
                <w:color w:val="000000"/>
                <w:sz w:val="24"/>
                <w:szCs w:val="24"/>
              </w:rPr>
              <w:t>Certainty of evidence</w:t>
            </w:r>
            <w:r>
              <w:rPr>
                <w:rFonts w:ascii="Arial" w:hAnsi="Arial" w:eastAsia="Arial" w:cs="Arial"/>
                <w:color w:val="000000"/>
                <w:sz w:val="24"/>
                <w:szCs w:val="24"/>
              </w:rPr>
              <w:br w:type="textWrapping"/>
            </w:r>
            <w:r>
              <w:rPr>
                <w:rFonts w:ascii="Arial" w:hAnsi="Arial" w:eastAsia="Arial" w:cs="Arial"/>
                <w:b/>
                <w:color w:val="000000"/>
                <w:sz w:val="24"/>
                <w:szCs w:val="24"/>
              </w:rPr>
              <w:t>(GRADE)</w:t>
            </w:r>
          </w:p>
        </w:tc>
        <w:tc>
          <w:tcPr>
            <w:tcW w:w="4150" w:type="dxa"/>
            <w:shd w:val="clear" w:color="auto" w:fill="auto"/>
            <w:tcMar>
              <w:top w:w="50" w:type="dxa"/>
              <w:left w:w="80" w:type="dxa"/>
              <w:bottom w:w="50" w:type="dxa"/>
              <w:right w:w="80" w:type="dxa"/>
            </w:tcMar>
            <w:vAlign w:val="center"/>
          </w:tcPr>
          <w:p w14:paraId="35D844BB">
            <w:pPr>
              <w:spacing w:before="0" w:after="0" w:line="240" w:lineRule="auto"/>
              <w:jc w:val="center"/>
            </w:pPr>
            <w:r>
              <w:rPr>
                <w:rFonts w:ascii="Arial" w:hAnsi="Arial" w:eastAsia="Arial" w:cs="Arial"/>
                <w:b/>
                <w:color w:val="000000"/>
                <w:sz w:val="24"/>
                <w:szCs w:val="24"/>
              </w:rPr>
              <w:t>Comments</w:t>
            </w:r>
          </w:p>
        </w:tc>
      </w:tr>
      <w:tr w14:paraId="532AFB48">
        <w:tblPrEx>
          <w:tblBorders>
            <w:top w:val="single" w:color="CBD5E1" w:sz="4" w:space="0"/>
            <w:left w:val="single" w:color="CBD5E1" w:sz="4" w:space="0"/>
            <w:bottom w:val="single" w:color="CBD5E1" w:sz="4" w:space="0"/>
            <w:right w:val="single" w:color="CBD5E1" w:sz="4" w:space="0"/>
            <w:insideH w:val="single" w:color="CBD5E1" w:sz="4" w:space="0"/>
            <w:insideV w:val="single" w:color="CBD5E1" w:sz="4" w:space="0"/>
          </w:tblBorders>
          <w:tblCellMar>
            <w:top w:w="0" w:type="dxa"/>
            <w:left w:w="108" w:type="dxa"/>
            <w:bottom w:w="0" w:type="dxa"/>
            <w:right w:w="108" w:type="dxa"/>
          </w:tblCellMar>
        </w:tblPrEx>
        <w:trPr>
          <w:cantSplit/>
        </w:trPr>
        <w:tc>
          <w:tcPr>
            <w:tcW w:w="2050" w:type="dxa"/>
            <w:tcMar>
              <w:top w:w="50" w:type="dxa"/>
              <w:left w:w="80" w:type="dxa"/>
              <w:bottom w:w="50" w:type="dxa"/>
              <w:right w:w="80" w:type="dxa"/>
            </w:tcMar>
            <w:vAlign w:val="center"/>
          </w:tcPr>
          <w:p w14:paraId="2DE19905">
            <w:pPr>
              <w:spacing w:before="0" w:after="0" w:line="240" w:lineRule="auto"/>
              <w:jc w:val="left"/>
            </w:pPr>
            <w:r>
              <w:rPr>
                <w:rFonts w:ascii="Arial" w:hAnsi="Arial" w:eastAsia="Arial" w:cs="Arial"/>
                <w:b w:val="0"/>
                <w:color w:val="000000"/>
                <w:sz w:val="24"/>
                <w:szCs w:val="24"/>
              </w:rPr>
              <w:t>Deep SSI through 90 days</w:t>
            </w:r>
            <w:r>
              <w:rPr>
                <w:rFonts w:ascii="Arial" w:hAnsi="Arial" w:eastAsia="Arial" w:cs="Arial"/>
                <w:color w:val="000000"/>
                <w:sz w:val="24"/>
                <w:szCs w:val="24"/>
              </w:rPr>
              <w:br w:type="textWrapping"/>
            </w:r>
            <w:r>
              <w:rPr>
                <w:rFonts w:ascii="Arial" w:hAnsi="Arial" w:eastAsia="Arial" w:cs="Arial"/>
                <w:b w:val="0"/>
                <w:color w:val="000000"/>
                <w:sz w:val="24"/>
                <w:szCs w:val="24"/>
              </w:rPr>
              <w:t>(Critical)</w:t>
            </w:r>
          </w:p>
        </w:tc>
        <w:tc>
          <w:tcPr>
            <w:tcW w:w="1030" w:type="dxa"/>
            <w:tcMar>
              <w:top w:w="50" w:type="dxa"/>
              <w:left w:w="80" w:type="dxa"/>
              <w:bottom w:w="50" w:type="dxa"/>
              <w:right w:w="80" w:type="dxa"/>
            </w:tcMar>
            <w:vAlign w:val="center"/>
          </w:tcPr>
          <w:p w14:paraId="4BAA4078">
            <w:pPr>
              <w:spacing w:before="0" w:after="0" w:line="240" w:lineRule="auto"/>
              <w:jc w:val="center"/>
            </w:pPr>
            <w:r>
              <w:rPr>
                <w:rFonts w:ascii="Arial" w:hAnsi="Arial" w:eastAsia="Arial" w:cs="Arial"/>
                <w:b w:val="0"/>
                <w:color w:val="000000"/>
                <w:sz w:val="24"/>
                <w:szCs w:val="24"/>
              </w:rPr>
              <w:t>1,651</w:t>
            </w:r>
            <w:r>
              <w:rPr>
                <w:rFonts w:ascii="Arial" w:hAnsi="Arial" w:eastAsia="Arial" w:cs="Arial"/>
                <w:color w:val="000000"/>
                <w:sz w:val="24"/>
                <w:szCs w:val="24"/>
              </w:rPr>
              <w:br w:type="textWrapping"/>
            </w:r>
            <w:r>
              <w:rPr>
                <w:rFonts w:ascii="Arial" w:hAnsi="Arial" w:eastAsia="Arial" w:cs="Arial"/>
                <w:b w:val="0"/>
                <w:color w:val="000000"/>
                <w:sz w:val="24"/>
                <w:szCs w:val="24"/>
              </w:rPr>
              <w:t>(2 RCTs)</w:t>
            </w:r>
          </w:p>
        </w:tc>
        <w:tc>
          <w:tcPr>
            <w:tcW w:w="1700" w:type="dxa"/>
            <w:tcMar>
              <w:top w:w="50" w:type="dxa"/>
              <w:left w:w="80" w:type="dxa"/>
              <w:bottom w:w="50" w:type="dxa"/>
              <w:right w:w="80" w:type="dxa"/>
            </w:tcMar>
            <w:vAlign w:val="center"/>
          </w:tcPr>
          <w:p w14:paraId="4D7CB49C">
            <w:pPr>
              <w:spacing w:before="0" w:after="0" w:line="240" w:lineRule="auto"/>
              <w:jc w:val="center"/>
            </w:pPr>
            <w:r>
              <w:rPr>
                <w:rFonts w:ascii="Arial" w:hAnsi="Arial" w:eastAsia="Arial" w:cs="Arial"/>
                <w:b w:val="0"/>
                <w:color w:val="000000"/>
                <w:sz w:val="24"/>
                <w:szCs w:val="24"/>
              </w:rPr>
              <w:t>RR 0.64</w:t>
            </w:r>
            <w:r>
              <w:rPr>
                <w:rFonts w:ascii="Arial" w:hAnsi="Arial" w:eastAsia="Arial" w:cs="Arial"/>
                <w:color w:val="000000"/>
                <w:sz w:val="24"/>
                <w:szCs w:val="24"/>
              </w:rPr>
              <w:br w:type="textWrapping"/>
            </w:r>
            <w:r>
              <w:rPr>
                <w:rFonts w:ascii="Arial" w:hAnsi="Arial" w:eastAsia="Arial" w:cs="Arial"/>
                <w:b w:val="0"/>
                <w:color w:val="000000"/>
                <w:sz w:val="24"/>
                <w:szCs w:val="24"/>
              </w:rPr>
              <w:t>(0.29 to 1.44)</w:t>
            </w:r>
          </w:p>
        </w:tc>
        <w:tc>
          <w:tcPr>
            <w:tcW w:w="1150" w:type="dxa"/>
            <w:tcMar>
              <w:top w:w="50" w:type="dxa"/>
              <w:left w:w="80" w:type="dxa"/>
              <w:bottom w:w="50" w:type="dxa"/>
              <w:right w:w="80" w:type="dxa"/>
            </w:tcMar>
            <w:vAlign w:val="center"/>
          </w:tcPr>
          <w:p w14:paraId="56093EB8">
            <w:pPr>
              <w:spacing w:before="0" w:after="0" w:line="240" w:lineRule="auto"/>
              <w:jc w:val="center"/>
            </w:pPr>
            <w:r>
              <w:rPr>
                <w:rFonts w:ascii="Arial" w:hAnsi="Arial" w:eastAsia="Arial" w:cs="Arial"/>
                <w:b w:val="0"/>
                <w:color w:val="000000"/>
                <w:sz w:val="24"/>
                <w:szCs w:val="24"/>
              </w:rPr>
              <w:t>114 per 1,000</w:t>
            </w:r>
          </w:p>
        </w:tc>
        <w:tc>
          <w:tcPr>
            <w:tcW w:w="1710" w:type="dxa"/>
            <w:tcMar>
              <w:top w:w="50" w:type="dxa"/>
              <w:left w:w="80" w:type="dxa"/>
              <w:bottom w:w="50" w:type="dxa"/>
              <w:right w:w="80" w:type="dxa"/>
            </w:tcMar>
            <w:vAlign w:val="center"/>
          </w:tcPr>
          <w:p w14:paraId="17E1528D">
            <w:pPr>
              <w:spacing w:before="0" w:after="0" w:line="240" w:lineRule="auto"/>
              <w:jc w:val="center"/>
            </w:pPr>
            <w:r>
              <w:rPr>
                <w:rFonts w:ascii="Arial" w:hAnsi="Arial" w:eastAsia="Arial" w:cs="Arial"/>
                <w:b w:val="0"/>
                <w:color w:val="000000"/>
                <w:sz w:val="24"/>
                <w:szCs w:val="24"/>
              </w:rPr>
              <w:t>73 per 1,000</w:t>
            </w:r>
            <w:r>
              <w:rPr>
                <w:rFonts w:ascii="Arial" w:hAnsi="Arial" w:eastAsia="Arial" w:cs="Arial"/>
                <w:color w:val="000000"/>
                <w:sz w:val="24"/>
                <w:szCs w:val="24"/>
              </w:rPr>
              <w:br w:type="textWrapping"/>
            </w:r>
            <w:r>
              <w:rPr>
                <w:rFonts w:ascii="Arial" w:hAnsi="Arial" w:eastAsia="Arial" w:cs="Arial"/>
                <w:b w:val="0"/>
                <w:color w:val="000000"/>
                <w:sz w:val="24"/>
                <w:szCs w:val="24"/>
              </w:rPr>
              <w:t>(33 to 164)</w:t>
            </w:r>
          </w:p>
        </w:tc>
        <w:tc>
          <w:tcPr>
            <w:tcW w:w="1800" w:type="dxa"/>
            <w:tcMar>
              <w:top w:w="50" w:type="dxa"/>
              <w:left w:w="80" w:type="dxa"/>
              <w:bottom w:w="50" w:type="dxa"/>
              <w:right w:w="80" w:type="dxa"/>
            </w:tcMar>
            <w:vAlign w:val="center"/>
          </w:tcPr>
          <w:p w14:paraId="1273C737">
            <w:pPr>
              <w:spacing w:before="0" w:after="0" w:line="240" w:lineRule="auto"/>
              <w:jc w:val="center"/>
            </w:pPr>
            <w:r>
              <w:rPr>
                <w:rFonts w:ascii="Arial" w:hAnsi="Arial" w:eastAsia="Arial" w:cs="Arial"/>
                <w:b w:val="0"/>
                <w:color w:val="000000"/>
                <w:sz w:val="24"/>
                <w:szCs w:val="24"/>
              </w:rPr>
              <w:t>41 fewer per 1,000</w:t>
            </w:r>
            <w:r>
              <w:rPr>
                <w:rFonts w:ascii="Arial" w:hAnsi="Arial" w:eastAsia="Arial" w:cs="Arial"/>
                <w:color w:val="000000"/>
                <w:sz w:val="24"/>
                <w:szCs w:val="24"/>
              </w:rPr>
              <w:br w:type="textWrapping"/>
            </w:r>
            <w:r>
              <w:rPr>
                <w:rFonts w:ascii="Arial" w:hAnsi="Arial" w:eastAsia="Arial" w:cs="Arial"/>
                <w:b w:val="0"/>
                <w:color w:val="000000"/>
                <w:sz w:val="24"/>
                <w:szCs w:val="24"/>
              </w:rPr>
              <w:t>(81 fewer to 50 more)</w:t>
            </w:r>
          </w:p>
        </w:tc>
        <w:tc>
          <w:tcPr>
            <w:tcW w:w="1040" w:type="dxa"/>
            <w:shd w:val="clear" w:color="auto" w:fill="FFF2F2"/>
            <w:tcMar>
              <w:top w:w="50" w:type="dxa"/>
              <w:left w:w="80" w:type="dxa"/>
              <w:bottom w:w="50" w:type="dxa"/>
              <w:right w:w="80" w:type="dxa"/>
            </w:tcMar>
            <w:vAlign w:val="center"/>
          </w:tcPr>
          <w:p w14:paraId="227DFFCC">
            <w:pPr>
              <w:spacing w:before="0" w:after="0" w:line="240" w:lineRule="auto"/>
              <w:jc w:val="center"/>
            </w:pPr>
            <w:r>
              <w:rPr>
                <w:rFonts w:ascii="Arial" w:hAnsi="Arial" w:eastAsia="Arial" w:cs="Arial"/>
                <w:b w:val="0"/>
                <w:color w:val="000000"/>
                <w:sz w:val="24"/>
                <w:szCs w:val="24"/>
              </w:rPr>
              <w:t>Very low</w:t>
            </w:r>
            <w:r>
              <w:rPr>
                <w:rFonts w:ascii="Arial" w:hAnsi="Arial" w:eastAsia="Arial" w:cs="Arial"/>
                <w:color w:val="000000"/>
                <w:sz w:val="24"/>
                <w:szCs w:val="24"/>
              </w:rPr>
              <w:br w:type="textWrapping"/>
            </w:r>
            <w:r>
              <w:rPr>
                <w:rFonts w:ascii="Arial" w:hAnsi="Arial" w:eastAsia="Arial" w:cs="Arial"/>
                <w:b w:val="0"/>
                <w:color w:val="000000"/>
                <w:sz w:val="24"/>
                <w:szCs w:val="24"/>
              </w:rPr>
              <w:t>⨁◯◯◯</w:t>
            </w:r>
          </w:p>
        </w:tc>
        <w:tc>
          <w:tcPr>
            <w:tcW w:w="4150" w:type="dxa"/>
            <w:tcMar>
              <w:top w:w="50" w:type="dxa"/>
              <w:left w:w="80" w:type="dxa"/>
              <w:bottom w:w="50" w:type="dxa"/>
              <w:right w:w="80" w:type="dxa"/>
            </w:tcMar>
            <w:vAlign w:val="center"/>
          </w:tcPr>
          <w:p w14:paraId="23F363FF">
            <w:pPr>
              <w:spacing w:before="0" w:after="0" w:line="240" w:lineRule="auto"/>
              <w:jc w:val="left"/>
            </w:pPr>
            <w:r>
              <w:rPr>
                <w:rFonts w:ascii="Arial" w:hAnsi="Arial" w:eastAsia="Arial" w:cs="Arial"/>
                <w:b w:val="0"/>
                <w:color w:val="000000"/>
                <w:sz w:val="24"/>
                <w:szCs w:val="24"/>
              </w:rPr>
              <w:t>The effect of ciNP</w:t>
            </w:r>
            <w:bookmarkStart w:id="0" w:name="_GoBack"/>
            <w:bookmarkEnd w:id="0"/>
            <w:r>
              <w:rPr>
                <w:rFonts w:ascii="Arial" w:hAnsi="Arial" w:eastAsia="Arial" w:cs="Arial"/>
                <w:b w:val="0"/>
                <w:color w:val="000000"/>
                <w:sz w:val="24"/>
                <w:szCs w:val="24"/>
              </w:rPr>
              <w:t>WT on 90-day deep SSI remains very uncertain.</w:t>
            </w:r>
          </w:p>
        </w:tc>
      </w:tr>
      <w:tr w14:paraId="22D3BEBA">
        <w:tblPrEx>
          <w:tblBorders>
            <w:top w:val="single" w:color="CBD5E1" w:sz="4" w:space="0"/>
            <w:left w:val="single" w:color="CBD5E1" w:sz="4" w:space="0"/>
            <w:bottom w:val="single" w:color="CBD5E1" w:sz="4" w:space="0"/>
            <w:right w:val="single" w:color="CBD5E1" w:sz="4" w:space="0"/>
            <w:insideH w:val="single" w:color="CBD5E1" w:sz="4" w:space="0"/>
            <w:insideV w:val="single" w:color="CBD5E1" w:sz="4" w:space="0"/>
          </w:tblBorders>
          <w:tblCellMar>
            <w:top w:w="0" w:type="dxa"/>
            <w:left w:w="108" w:type="dxa"/>
            <w:bottom w:w="0" w:type="dxa"/>
            <w:right w:w="108" w:type="dxa"/>
          </w:tblCellMar>
        </w:tblPrEx>
        <w:trPr>
          <w:cantSplit/>
        </w:trPr>
        <w:tc>
          <w:tcPr>
            <w:tcW w:w="2050" w:type="dxa"/>
            <w:tcMar>
              <w:top w:w="50" w:type="dxa"/>
              <w:left w:w="80" w:type="dxa"/>
              <w:bottom w:w="50" w:type="dxa"/>
              <w:right w:w="80" w:type="dxa"/>
            </w:tcMar>
            <w:vAlign w:val="center"/>
          </w:tcPr>
          <w:p w14:paraId="4AF0118B">
            <w:pPr>
              <w:spacing w:before="0" w:after="0" w:line="240" w:lineRule="auto"/>
              <w:jc w:val="left"/>
            </w:pPr>
            <w:r>
              <w:rPr>
                <w:rFonts w:ascii="Arial" w:hAnsi="Arial" w:eastAsia="Arial" w:cs="Arial"/>
                <w:b w:val="0"/>
                <w:color w:val="000000"/>
                <w:sz w:val="24"/>
                <w:szCs w:val="24"/>
              </w:rPr>
              <w:t>Deep SSI at 30 days</w:t>
            </w:r>
            <w:r>
              <w:rPr>
                <w:rFonts w:ascii="Arial" w:hAnsi="Arial" w:eastAsia="Arial" w:cs="Arial"/>
                <w:color w:val="000000"/>
                <w:sz w:val="24"/>
                <w:szCs w:val="24"/>
              </w:rPr>
              <w:br w:type="textWrapping"/>
            </w:r>
            <w:r>
              <w:rPr>
                <w:rFonts w:ascii="Arial" w:hAnsi="Arial" w:eastAsia="Arial" w:cs="Arial"/>
                <w:b w:val="0"/>
                <w:color w:val="000000"/>
                <w:sz w:val="24"/>
                <w:szCs w:val="24"/>
              </w:rPr>
              <w:t>(Important)</w:t>
            </w:r>
          </w:p>
        </w:tc>
        <w:tc>
          <w:tcPr>
            <w:tcW w:w="1030" w:type="dxa"/>
            <w:tcMar>
              <w:top w:w="50" w:type="dxa"/>
              <w:left w:w="80" w:type="dxa"/>
              <w:bottom w:w="50" w:type="dxa"/>
              <w:right w:w="80" w:type="dxa"/>
            </w:tcMar>
            <w:vAlign w:val="center"/>
          </w:tcPr>
          <w:p w14:paraId="72C57CA2">
            <w:pPr>
              <w:spacing w:before="0" w:after="0" w:line="240" w:lineRule="auto"/>
              <w:jc w:val="center"/>
            </w:pPr>
            <w:r>
              <w:rPr>
                <w:rFonts w:ascii="Arial" w:hAnsi="Arial" w:eastAsia="Arial" w:cs="Arial"/>
                <w:b w:val="0"/>
                <w:color w:val="000000"/>
                <w:sz w:val="24"/>
                <w:szCs w:val="24"/>
              </w:rPr>
              <w:t>1,951</w:t>
            </w:r>
            <w:r>
              <w:rPr>
                <w:rFonts w:ascii="Arial" w:hAnsi="Arial" w:eastAsia="Arial" w:cs="Arial"/>
                <w:color w:val="000000"/>
                <w:sz w:val="24"/>
                <w:szCs w:val="24"/>
              </w:rPr>
              <w:br w:type="textWrapping"/>
            </w:r>
            <w:r>
              <w:rPr>
                <w:rFonts w:ascii="Arial" w:hAnsi="Arial" w:eastAsia="Arial" w:cs="Arial"/>
                <w:b w:val="0"/>
                <w:color w:val="000000"/>
                <w:sz w:val="24"/>
                <w:szCs w:val="24"/>
              </w:rPr>
              <w:t>(2 RCTs)</w:t>
            </w:r>
          </w:p>
        </w:tc>
        <w:tc>
          <w:tcPr>
            <w:tcW w:w="1700" w:type="dxa"/>
            <w:tcMar>
              <w:top w:w="50" w:type="dxa"/>
              <w:left w:w="80" w:type="dxa"/>
              <w:bottom w:w="50" w:type="dxa"/>
              <w:right w:w="80" w:type="dxa"/>
            </w:tcMar>
            <w:vAlign w:val="center"/>
          </w:tcPr>
          <w:p w14:paraId="65455FD3">
            <w:pPr>
              <w:spacing w:before="0" w:after="0" w:line="240" w:lineRule="auto"/>
              <w:jc w:val="center"/>
            </w:pPr>
            <w:r>
              <w:rPr>
                <w:rFonts w:ascii="Arial" w:hAnsi="Arial" w:eastAsia="Arial" w:cs="Arial"/>
                <w:b w:val="0"/>
                <w:color w:val="000000"/>
                <w:sz w:val="24"/>
                <w:szCs w:val="24"/>
              </w:rPr>
              <w:t>RR 0.57</w:t>
            </w:r>
            <w:r>
              <w:rPr>
                <w:rFonts w:ascii="Arial" w:hAnsi="Arial" w:eastAsia="Arial" w:cs="Arial"/>
                <w:color w:val="000000"/>
                <w:sz w:val="24"/>
                <w:szCs w:val="24"/>
              </w:rPr>
              <w:br w:type="textWrapping"/>
            </w:r>
            <w:r>
              <w:rPr>
                <w:rFonts w:ascii="Arial" w:hAnsi="Arial" w:eastAsia="Arial" w:cs="Arial"/>
                <w:b w:val="0"/>
                <w:color w:val="000000"/>
                <w:sz w:val="24"/>
                <w:szCs w:val="24"/>
              </w:rPr>
              <w:t>(0.20 to 1.64)</w:t>
            </w:r>
          </w:p>
        </w:tc>
        <w:tc>
          <w:tcPr>
            <w:tcW w:w="1150" w:type="dxa"/>
            <w:tcMar>
              <w:top w:w="50" w:type="dxa"/>
              <w:left w:w="80" w:type="dxa"/>
              <w:bottom w:w="50" w:type="dxa"/>
              <w:right w:w="80" w:type="dxa"/>
            </w:tcMar>
            <w:vAlign w:val="center"/>
          </w:tcPr>
          <w:p w14:paraId="2DB7792E">
            <w:pPr>
              <w:spacing w:before="0" w:after="0" w:line="240" w:lineRule="auto"/>
              <w:jc w:val="center"/>
            </w:pPr>
            <w:r>
              <w:rPr>
                <w:rFonts w:ascii="Arial" w:hAnsi="Arial" w:eastAsia="Arial" w:cs="Arial"/>
                <w:b w:val="0"/>
                <w:color w:val="000000"/>
                <w:sz w:val="24"/>
                <w:szCs w:val="24"/>
              </w:rPr>
              <w:t>66 per 1,000</w:t>
            </w:r>
          </w:p>
        </w:tc>
        <w:tc>
          <w:tcPr>
            <w:tcW w:w="1710" w:type="dxa"/>
            <w:tcMar>
              <w:top w:w="50" w:type="dxa"/>
              <w:left w:w="80" w:type="dxa"/>
              <w:bottom w:w="50" w:type="dxa"/>
              <w:right w:w="80" w:type="dxa"/>
            </w:tcMar>
            <w:vAlign w:val="center"/>
          </w:tcPr>
          <w:p w14:paraId="08E4559F">
            <w:pPr>
              <w:spacing w:before="0" w:after="0" w:line="240" w:lineRule="auto"/>
              <w:jc w:val="center"/>
            </w:pPr>
            <w:r>
              <w:rPr>
                <w:rFonts w:ascii="Arial" w:hAnsi="Arial" w:eastAsia="Arial" w:cs="Arial"/>
                <w:b w:val="0"/>
                <w:color w:val="000000"/>
                <w:sz w:val="24"/>
                <w:szCs w:val="24"/>
              </w:rPr>
              <w:t>38 per 1,000</w:t>
            </w:r>
            <w:r>
              <w:rPr>
                <w:rFonts w:ascii="Arial" w:hAnsi="Arial" w:eastAsia="Arial" w:cs="Arial"/>
                <w:color w:val="000000"/>
                <w:sz w:val="24"/>
                <w:szCs w:val="24"/>
              </w:rPr>
              <w:br w:type="textWrapping"/>
            </w:r>
            <w:r>
              <w:rPr>
                <w:rFonts w:ascii="Arial" w:hAnsi="Arial" w:eastAsia="Arial" w:cs="Arial"/>
                <w:b w:val="0"/>
                <w:color w:val="000000"/>
                <w:sz w:val="24"/>
                <w:szCs w:val="24"/>
              </w:rPr>
              <w:t>(13 to 108)</w:t>
            </w:r>
          </w:p>
        </w:tc>
        <w:tc>
          <w:tcPr>
            <w:tcW w:w="1800" w:type="dxa"/>
            <w:tcMar>
              <w:top w:w="50" w:type="dxa"/>
              <w:left w:w="80" w:type="dxa"/>
              <w:bottom w:w="50" w:type="dxa"/>
              <w:right w:w="80" w:type="dxa"/>
            </w:tcMar>
            <w:vAlign w:val="center"/>
          </w:tcPr>
          <w:p w14:paraId="1AD70DD0">
            <w:pPr>
              <w:spacing w:before="0" w:after="0" w:line="240" w:lineRule="auto"/>
              <w:jc w:val="center"/>
            </w:pPr>
            <w:r>
              <w:rPr>
                <w:rFonts w:ascii="Arial" w:hAnsi="Arial" w:eastAsia="Arial" w:cs="Arial"/>
                <w:b w:val="0"/>
                <w:color w:val="000000"/>
                <w:sz w:val="24"/>
                <w:szCs w:val="24"/>
              </w:rPr>
              <w:t>28 fewer per 1,000</w:t>
            </w:r>
            <w:r>
              <w:rPr>
                <w:rFonts w:ascii="Arial" w:hAnsi="Arial" w:eastAsia="Arial" w:cs="Arial"/>
                <w:color w:val="000000"/>
                <w:sz w:val="24"/>
                <w:szCs w:val="24"/>
              </w:rPr>
              <w:br w:type="textWrapping"/>
            </w:r>
            <w:r>
              <w:rPr>
                <w:rFonts w:ascii="Arial" w:hAnsi="Arial" w:eastAsia="Arial" w:cs="Arial"/>
                <w:b w:val="0"/>
                <w:color w:val="000000"/>
                <w:sz w:val="24"/>
                <w:szCs w:val="24"/>
              </w:rPr>
              <w:t>(53 fewer to 42 more)</w:t>
            </w:r>
          </w:p>
        </w:tc>
        <w:tc>
          <w:tcPr>
            <w:tcW w:w="1040" w:type="dxa"/>
            <w:shd w:val="clear" w:color="auto" w:fill="FFF2F2"/>
            <w:tcMar>
              <w:top w:w="50" w:type="dxa"/>
              <w:left w:w="80" w:type="dxa"/>
              <w:bottom w:w="50" w:type="dxa"/>
              <w:right w:w="80" w:type="dxa"/>
            </w:tcMar>
            <w:vAlign w:val="center"/>
          </w:tcPr>
          <w:p w14:paraId="269811D1">
            <w:pPr>
              <w:spacing w:before="0" w:after="0" w:line="240" w:lineRule="auto"/>
              <w:jc w:val="center"/>
            </w:pPr>
            <w:r>
              <w:rPr>
                <w:rFonts w:ascii="Arial" w:hAnsi="Arial" w:eastAsia="Arial" w:cs="Arial"/>
                <w:b w:val="0"/>
                <w:color w:val="000000"/>
                <w:sz w:val="24"/>
                <w:szCs w:val="24"/>
              </w:rPr>
              <w:t>Very low</w:t>
            </w:r>
            <w:r>
              <w:rPr>
                <w:rFonts w:ascii="Arial" w:hAnsi="Arial" w:eastAsia="Arial" w:cs="Arial"/>
                <w:color w:val="000000"/>
                <w:sz w:val="24"/>
                <w:szCs w:val="24"/>
              </w:rPr>
              <w:br w:type="textWrapping"/>
            </w:r>
            <w:r>
              <w:rPr>
                <w:rFonts w:ascii="Arial" w:hAnsi="Arial" w:eastAsia="Arial" w:cs="Arial"/>
                <w:b w:val="0"/>
                <w:color w:val="000000"/>
                <w:sz w:val="24"/>
                <w:szCs w:val="24"/>
              </w:rPr>
              <w:t>⨁◯◯◯</w:t>
            </w:r>
          </w:p>
        </w:tc>
        <w:tc>
          <w:tcPr>
            <w:tcW w:w="4150" w:type="dxa"/>
            <w:tcMar>
              <w:top w:w="50" w:type="dxa"/>
              <w:left w:w="80" w:type="dxa"/>
              <w:bottom w:w="50" w:type="dxa"/>
              <w:right w:w="80" w:type="dxa"/>
            </w:tcMar>
            <w:vAlign w:val="center"/>
          </w:tcPr>
          <w:p w14:paraId="6AD5BD0E">
            <w:pPr>
              <w:spacing w:before="0" w:after="0" w:line="240" w:lineRule="auto"/>
              <w:jc w:val="left"/>
            </w:pPr>
            <w:r>
              <w:rPr>
                <w:rFonts w:ascii="Arial" w:hAnsi="Arial" w:eastAsia="Arial" w:cs="Arial"/>
                <w:b w:val="0"/>
                <w:color w:val="000000"/>
                <w:sz w:val="24"/>
                <w:szCs w:val="24"/>
              </w:rPr>
              <w:t>The direction is similar at 30 days, but the effect remains very uncertain.</w:t>
            </w:r>
          </w:p>
        </w:tc>
      </w:tr>
      <w:tr w14:paraId="27C2B267">
        <w:tblPrEx>
          <w:tblBorders>
            <w:top w:val="single" w:color="CBD5E1" w:sz="4" w:space="0"/>
            <w:left w:val="single" w:color="CBD5E1" w:sz="4" w:space="0"/>
            <w:bottom w:val="single" w:color="CBD5E1" w:sz="4" w:space="0"/>
            <w:right w:val="single" w:color="CBD5E1" w:sz="4" w:space="0"/>
            <w:insideH w:val="single" w:color="CBD5E1" w:sz="4" w:space="0"/>
            <w:insideV w:val="single" w:color="CBD5E1" w:sz="4" w:space="0"/>
          </w:tblBorders>
          <w:tblCellMar>
            <w:top w:w="0" w:type="dxa"/>
            <w:left w:w="108" w:type="dxa"/>
            <w:bottom w:w="0" w:type="dxa"/>
            <w:right w:w="108" w:type="dxa"/>
          </w:tblCellMar>
        </w:tblPrEx>
        <w:trPr>
          <w:cantSplit/>
        </w:trPr>
        <w:tc>
          <w:tcPr>
            <w:tcW w:w="2050" w:type="dxa"/>
            <w:tcMar>
              <w:top w:w="50" w:type="dxa"/>
              <w:left w:w="80" w:type="dxa"/>
              <w:bottom w:w="50" w:type="dxa"/>
              <w:right w:w="80" w:type="dxa"/>
            </w:tcMar>
            <w:vAlign w:val="center"/>
          </w:tcPr>
          <w:p w14:paraId="5D2799F0">
            <w:pPr>
              <w:spacing w:before="0" w:after="0" w:line="240" w:lineRule="auto"/>
              <w:jc w:val="left"/>
            </w:pPr>
            <w:r>
              <w:rPr>
                <w:rFonts w:ascii="Arial" w:hAnsi="Arial" w:eastAsia="Arial" w:cs="Arial"/>
                <w:b w:val="0"/>
                <w:color w:val="000000"/>
                <w:sz w:val="24"/>
                <w:szCs w:val="24"/>
              </w:rPr>
              <w:t>Wound dehiscence, longest available follow-up</w:t>
            </w:r>
            <w:r>
              <w:rPr>
                <w:rFonts w:ascii="Arial" w:hAnsi="Arial" w:eastAsia="Arial" w:cs="Arial"/>
                <w:color w:val="000000"/>
                <w:sz w:val="24"/>
                <w:szCs w:val="24"/>
              </w:rPr>
              <w:br w:type="textWrapping"/>
            </w:r>
            <w:r>
              <w:rPr>
                <w:rFonts w:ascii="Arial" w:hAnsi="Arial" w:eastAsia="Arial" w:cs="Arial"/>
                <w:b w:val="0"/>
                <w:color w:val="000000"/>
                <w:sz w:val="24"/>
                <w:szCs w:val="24"/>
              </w:rPr>
              <w:t>(Important)</w:t>
            </w:r>
          </w:p>
        </w:tc>
        <w:tc>
          <w:tcPr>
            <w:tcW w:w="1030" w:type="dxa"/>
            <w:tcMar>
              <w:top w:w="50" w:type="dxa"/>
              <w:left w:w="80" w:type="dxa"/>
              <w:bottom w:w="50" w:type="dxa"/>
              <w:right w:w="80" w:type="dxa"/>
            </w:tcMar>
            <w:vAlign w:val="center"/>
          </w:tcPr>
          <w:p w14:paraId="6CF3951F">
            <w:pPr>
              <w:spacing w:before="0" w:after="0" w:line="240" w:lineRule="auto"/>
              <w:jc w:val="center"/>
            </w:pPr>
            <w:r>
              <w:rPr>
                <w:rFonts w:ascii="Arial" w:hAnsi="Arial" w:eastAsia="Arial" w:cs="Arial"/>
                <w:b w:val="0"/>
                <w:color w:val="000000"/>
                <w:sz w:val="24"/>
                <w:szCs w:val="24"/>
              </w:rPr>
              <w:t>245</w:t>
            </w:r>
            <w:r>
              <w:rPr>
                <w:rFonts w:ascii="Arial" w:hAnsi="Arial" w:eastAsia="Arial" w:cs="Arial"/>
                <w:color w:val="000000"/>
                <w:sz w:val="24"/>
                <w:szCs w:val="24"/>
              </w:rPr>
              <w:br w:type="textWrapping"/>
            </w:r>
            <w:r>
              <w:rPr>
                <w:rFonts w:ascii="Arial" w:hAnsi="Arial" w:eastAsia="Arial" w:cs="Arial"/>
                <w:b w:val="0"/>
                <w:color w:val="000000"/>
                <w:sz w:val="24"/>
                <w:szCs w:val="24"/>
              </w:rPr>
              <w:t>(2 studies)</w:t>
            </w:r>
          </w:p>
        </w:tc>
        <w:tc>
          <w:tcPr>
            <w:tcW w:w="1700" w:type="dxa"/>
            <w:tcMar>
              <w:top w:w="50" w:type="dxa"/>
              <w:left w:w="80" w:type="dxa"/>
              <w:bottom w:w="50" w:type="dxa"/>
              <w:right w:w="80" w:type="dxa"/>
            </w:tcMar>
            <w:vAlign w:val="center"/>
          </w:tcPr>
          <w:p w14:paraId="212B0DBE">
            <w:pPr>
              <w:spacing w:before="0" w:after="0" w:line="240" w:lineRule="auto"/>
              <w:jc w:val="center"/>
            </w:pPr>
            <w:r>
              <w:rPr>
                <w:rFonts w:ascii="Arial" w:hAnsi="Arial" w:eastAsia="Arial" w:cs="Arial"/>
                <w:b w:val="0"/>
                <w:color w:val="000000"/>
                <w:sz w:val="24"/>
                <w:szCs w:val="24"/>
              </w:rPr>
              <w:t>RR 1.05</w:t>
            </w:r>
            <w:r>
              <w:rPr>
                <w:rFonts w:ascii="Arial" w:hAnsi="Arial" w:eastAsia="Arial" w:cs="Arial"/>
                <w:color w:val="000000"/>
                <w:sz w:val="24"/>
                <w:szCs w:val="24"/>
              </w:rPr>
              <w:br w:type="textWrapping"/>
            </w:r>
            <w:r>
              <w:rPr>
                <w:rFonts w:ascii="Arial" w:hAnsi="Arial" w:eastAsia="Arial" w:cs="Arial"/>
                <w:b w:val="0"/>
                <w:color w:val="000000"/>
                <w:sz w:val="24"/>
                <w:szCs w:val="24"/>
              </w:rPr>
              <w:t>(0.18 to 6.09)</w:t>
            </w:r>
          </w:p>
        </w:tc>
        <w:tc>
          <w:tcPr>
            <w:tcW w:w="1150" w:type="dxa"/>
            <w:tcMar>
              <w:top w:w="50" w:type="dxa"/>
              <w:left w:w="80" w:type="dxa"/>
              <w:bottom w:w="50" w:type="dxa"/>
              <w:right w:w="80" w:type="dxa"/>
            </w:tcMar>
            <w:vAlign w:val="center"/>
          </w:tcPr>
          <w:p w14:paraId="568518A9">
            <w:pPr>
              <w:spacing w:before="0" w:after="0" w:line="240" w:lineRule="auto"/>
              <w:jc w:val="center"/>
            </w:pPr>
            <w:r>
              <w:rPr>
                <w:rFonts w:ascii="Arial" w:hAnsi="Arial" w:eastAsia="Arial" w:cs="Arial"/>
                <w:b w:val="0"/>
                <w:color w:val="000000"/>
                <w:sz w:val="24"/>
                <w:szCs w:val="24"/>
              </w:rPr>
              <w:t>95 per 1,000</w:t>
            </w:r>
          </w:p>
        </w:tc>
        <w:tc>
          <w:tcPr>
            <w:tcW w:w="1710" w:type="dxa"/>
            <w:tcMar>
              <w:top w:w="50" w:type="dxa"/>
              <w:left w:w="80" w:type="dxa"/>
              <w:bottom w:w="50" w:type="dxa"/>
              <w:right w:w="80" w:type="dxa"/>
            </w:tcMar>
            <w:vAlign w:val="center"/>
          </w:tcPr>
          <w:p w14:paraId="512FBFC6">
            <w:pPr>
              <w:spacing w:before="0" w:after="0" w:line="240" w:lineRule="auto"/>
              <w:jc w:val="center"/>
            </w:pPr>
            <w:r>
              <w:rPr>
                <w:rFonts w:ascii="Arial" w:hAnsi="Arial" w:eastAsia="Arial" w:cs="Arial"/>
                <w:b w:val="0"/>
                <w:color w:val="000000"/>
                <w:sz w:val="24"/>
                <w:szCs w:val="24"/>
              </w:rPr>
              <w:t>100 per 1,000</w:t>
            </w:r>
            <w:r>
              <w:rPr>
                <w:rFonts w:ascii="Arial" w:hAnsi="Arial" w:eastAsia="Arial" w:cs="Arial"/>
                <w:color w:val="000000"/>
                <w:sz w:val="24"/>
                <w:szCs w:val="24"/>
              </w:rPr>
              <w:br w:type="textWrapping"/>
            </w:r>
            <w:r>
              <w:rPr>
                <w:rFonts w:ascii="Arial" w:hAnsi="Arial" w:eastAsia="Arial" w:cs="Arial"/>
                <w:b w:val="0"/>
                <w:color w:val="000000"/>
                <w:sz w:val="24"/>
                <w:szCs w:val="24"/>
              </w:rPr>
              <w:t>(17 to 580)</w:t>
            </w:r>
          </w:p>
        </w:tc>
        <w:tc>
          <w:tcPr>
            <w:tcW w:w="1800" w:type="dxa"/>
            <w:tcMar>
              <w:top w:w="50" w:type="dxa"/>
              <w:left w:w="80" w:type="dxa"/>
              <w:bottom w:w="50" w:type="dxa"/>
              <w:right w:w="80" w:type="dxa"/>
            </w:tcMar>
            <w:vAlign w:val="center"/>
          </w:tcPr>
          <w:p w14:paraId="5C481473">
            <w:pPr>
              <w:spacing w:before="0" w:after="0" w:line="240" w:lineRule="auto"/>
              <w:jc w:val="center"/>
            </w:pPr>
            <w:r>
              <w:rPr>
                <w:rFonts w:ascii="Arial" w:hAnsi="Arial" w:eastAsia="Arial" w:cs="Arial"/>
                <w:b w:val="0"/>
                <w:color w:val="000000"/>
                <w:sz w:val="24"/>
                <w:szCs w:val="24"/>
              </w:rPr>
              <w:t>5 more per 1,000</w:t>
            </w:r>
            <w:r>
              <w:rPr>
                <w:rFonts w:ascii="Arial" w:hAnsi="Arial" w:eastAsia="Arial" w:cs="Arial"/>
                <w:color w:val="000000"/>
                <w:sz w:val="24"/>
                <w:szCs w:val="24"/>
              </w:rPr>
              <w:br w:type="textWrapping"/>
            </w:r>
            <w:r>
              <w:rPr>
                <w:rFonts w:ascii="Arial" w:hAnsi="Arial" w:eastAsia="Arial" w:cs="Arial"/>
                <w:b w:val="0"/>
                <w:color w:val="000000"/>
                <w:sz w:val="24"/>
                <w:szCs w:val="24"/>
              </w:rPr>
              <w:t>(78 fewer to 485 more)</w:t>
            </w:r>
          </w:p>
        </w:tc>
        <w:tc>
          <w:tcPr>
            <w:tcW w:w="1040" w:type="dxa"/>
            <w:shd w:val="clear" w:color="auto" w:fill="FFF2F2"/>
            <w:tcMar>
              <w:top w:w="50" w:type="dxa"/>
              <w:left w:w="80" w:type="dxa"/>
              <w:bottom w:w="50" w:type="dxa"/>
              <w:right w:w="80" w:type="dxa"/>
            </w:tcMar>
            <w:vAlign w:val="center"/>
          </w:tcPr>
          <w:p w14:paraId="16401C13">
            <w:pPr>
              <w:spacing w:before="0" w:after="0" w:line="240" w:lineRule="auto"/>
              <w:jc w:val="center"/>
            </w:pPr>
            <w:r>
              <w:rPr>
                <w:rFonts w:ascii="Arial" w:hAnsi="Arial" w:eastAsia="Arial" w:cs="Arial"/>
                <w:b w:val="0"/>
                <w:color w:val="000000"/>
                <w:sz w:val="24"/>
                <w:szCs w:val="24"/>
              </w:rPr>
              <w:t>Very low</w:t>
            </w:r>
            <w:r>
              <w:rPr>
                <w:rFonts w:ascii="Arial" w:hAnsi="Arial" w:eastAsia="Arial" w:cs="Arial"/>
                <w:color w:val="000000"/>
                <w:sz w:val="24"/>
                <w:szCs w:val="24"/>
              </w:rPr>
              <w:br w:type="textWrapping"/>
            </w:r>
            <w:r>
              <w:rPr>
                <w:rFonts w:ascii="Arial" w:hAnsi="Arial" w:eastAsia="Arial" w:cs="Arial"/>
                <w:b w:val="0"/>
                <w:color w:val="000000"/>
                <w:sz w:val="24"/>
                <w:szCs w:val="24"/>
              </w:rPr>
              <w:t>⨁◯◯◯</w:t>
            </w:r>
          </w:p>
        </w:tc>
        <w:tc>
          <w:tcPr>
            <w:tcW w:w="4150" w:type="dxa"/>
            <w:tcMar>
              <w:top w:w="50" w:type="dxa"/>
              <w:left w:w="80" w:type="dxa"/>
              <w:bottom w:w="50" w:type="dxa"/>
              <w:right w:w="80" w:type="dxa"/>
            </w:tcMar>
            <w:vAlign w:val="center"/>
          </w:tcPr>
          <w:p w14:paraId="0359AC10">
            <w:pPr>
              <w:spacing w:before="0" w:after="0" w:line="240" w:lineRule="auto"/>
              <w:jc w:val="left"/>
            </w:pPr>
            <w:r>
              <w:rPr>
                <w:rFonts w:ascii="Arial" w:hAnsi="Arial" w:eastAsia="Arial" w:cs="Arial"/>
                <w:b w:val="0"/>
                <w:color w:val="000000"/>
                <w:sz w:val="24"/>
                <w:szCs w:val="24"/>
              </w:rPr>
              <w:t>The effect on wound dehiscence is very uncertain.</w:t>
            </w:r>
          </w:p>
        </w:tc>
      </w:tr>
      <w:tr w14:paraId="442A7133">
        <w:tblPrEx>
          <w:tblBorders>
            <w:top w:val="single" w:color="CBD5E1" w:sz="4" w:space="0"/>
            <w:left w:val="single" w:color="CBD5E1" w:sz="4" w:space="0"/>
            <w:bottom w:val="single" w:color="CBD5E1" w:sz="4" w:space="0"/>
            <w:right w:val="single" w:color="CBD5E1" w:sz="4" w:space="0"/>
            <w:insideH w:val="single" w:color="CBD5E1" w:sz="4" w:space="0"/>
            <w:insideV w:val="single" w:color="CBD5E1" w:sz="4" w:space="0"/>
          </w:tblBorders>
          <w:tblCellMar>
            <w:top w:w="0" w:type="dxa"/>
            <w:left w:w="108" w:type="dxa"/>
            <w:bottom w:w="0" w:type="dxa"/>
            <w:right w:w="108" w:type="dxa"/>
          </w:tblCellMar>
        </w:tblPrEx>
        <w:trPr>
          <w:cantSplit/>
        </w:trPr>
        <w:tc>
          <w:tcPr>
            <w:tcW w:w="2050" w:type="dxa"/>
            <w:tcMar>
              <w:top w:w="50" w:type="dxa"/>
              <w:left w:w="80" w:type="dxa"/>
              <w:bottom w:w="50" w:type="dxa"/>
              <w:right w:w="80" w:type="dxa"/>
            </w:tcMar>
            <w:vAlign w:val="center"/>
          </w:tcPr>
          <w:p w14:paraId="655223FF">
            <w:pPr>
              <w:spacing w:before="0" w:after="0" w:line="240" w:lineRule="auto"/>
              <w:jc w:val="left"/>
            </w:pPr>
            <w:r>
              <w:rPr>
                <w:rFonts w:ascii="Arial" w:hAnsi="Arial" w:eastAsia="Arial" w:cs="Arial"/>
                <w:b w:val="0"/>
                <w:color w:val="000000"/>
                <w:sz w:val="24"/>
                <w:szCs w:val="24"/>
              </w:rPr>
              <w:t>Wound-related reoperation/major wound complication, longest available follow-up</w:t>
            </w:r>
            <w:r>
              <w:rPr>
                <w:rFonts w:ascii="Arial" w:hAnsi="Arial" w:eastAsia="Arial" w:cs="Arial"/>
                <w:color w:val="000000"/>
                <w:sz w:val="24"/>
                <w:szCs w:val="24"/>
              </w:rPr>
              <w:br w:type="textWrapping"/>
            </w:r>
            <w:r>
              <w:rPr>
                <w:rFonts w:ascii="Arial" w:hAnsi="Arial" w:eastAsia="Arial" w:cs="Arial"/>
                <w:b w:val="0"/>
                <w:color w:val="000000"/>
                <w:sz w:val="24"/>
                <w:szCs w:val="24"/>
              </w:rPr>
              <w:t>(Important)</w:t>
            </w:r>
          </w:p>
        </w:tc>
        <w:tc>
          <w:tcPr>
            <w:tcW w:w="1030" w:type="dxa"/>
            <w:tcMar>
              <w:top w:w="50" w:type="dxa"/>
              <w:left w:w="80" w:type="dxa"/>
              <w:bottom w:w="50" w:type="dxa"/>
              <w:right w:w="80" w:type="dxa"/>
            </w:tcMar>
            <w:vAlign w:val="center"/>
          </w:tcPr>
          <w:p w14:paraId="1587EE3F">
            <w:pPr>
              <w:spacing w:before="0" w:after="0" w:line="240" w:lineRule="auto"/>
              <w:jc w:val="center"/>
            </w:pPr>
            <w:r>
              <w:rPr>
                <w:rFonts w:ascii="Arial" w:hAnsi="Arial" w:eastAsia="Arial" w:cs="Arial"/>
                <w:b w:val="0"/>
                <w:color w:val="000000"/>
                <w:sz w:val="24"/>
                <w:szCs w:val="24"/>
              </w:rPr>
              <w:t>312</w:t>
            </w:r>
            <w:r>
              <w:rPr>
                <w:rFonts w:ascii="Arial" w:hAnsi="Arial" w:eastAsia="Arial" w:cs="Arial"/>
                <w:color w:val="000000"/>
                <w:sz w:val="24"/>
                <w:szCs w:val="24"/>
              </w:rPr>
              <w:br w:type="textWrapping"/>
            </w:r>
            <w:r>
              <w:rPr>
                <w:rFonts w:ascii="Arial" w:hAnsi="Arial" w:eastAsia="Arial" w:cs="Arial"/>
                <w:b w:val="0"/>
                <w:color w:val="000000"/>
                <w:sz w:val="24"/>
                <w:szCs w:val="24"/>
              </w:rPr>
              <w:t>(3 studies)</w:t>
            </w:r>
          </w:p>
        </w:tc>
        <w:tc>
          <w:tcPr>
            <w:tcW w:w="1700" w:type="dxa"/>
            <w:tcMar>
              <w:top w:w="50" w:type="dxa"/>
              <w:left w:w="80" w:type="dxa"/>
              <w:bottom w:w="50" w:type="dxa"/>
              <w:right w:w="80" w:type="dxa"/>
            </w:tcMar>
            <w:vAlign w:val="center"/>
          </w:tcPr>
          <w:p w14:paraId="4D810D28">
            <w:pPr>
              <w:spacing w:before="0" w:after="0" w:line="240" w:lineRule="auto"/>
              <w:jc w:val="center"/>
            </w:pPr>
            <w:r>
              <w:rPr>
                <w:rFonts w:ascii="Arial" w:hAnsi="Arial" w:eastAsia="Arial" w:cs="Arial"/>
                <w:b w:val="0"/>
                <w:color w:val="000000"/>
                <w:sz w:val="24"/>
                <w:szCs w:val="24"/>
              </w:rPr>
              <w:t>RR 0.78</w:t>
            </w:r>
            <w:r>
              <w:rPr>
                <w:rFonts w:ascii="Arial" w:hAnsi="Arial" w:eastAsia="Arial" w:cs="Arial"/>
                <w:color w:val="000000"/>
                <w:sz w:val="24"/>
                <w:szCs w:val="24"/>
              </w:rPr>
              <w:br w:type="textWrapping"/>
            </w:r>
            <w:r>
              <w:rPr>
                <w:rFonts w:ascii="Arial" w:hAnsi="Arial" w:eastAsia="Arial" w:cs="Arial"/>
                <w:b w:val="0"/>
                <w:color w:val="000000"/>
                <w:sz w:val="24"/>
                <w:szCs w:val="24"/>
              </w:rPr>
              <w:t>(0.20 to 3.13)</w:t>
            </w:r>
          </w:p>
        </w:tc>
        <w:tc>
          <w:tcPr>
            <w:tcW w:w="1150" w:type="dxa"/>
            <w:tcMar>
              <w:top w:w="50" w:type="dxa"/>
              <w:left w:w="80" w:type="dxa"/>
              <w:bottom w:w="50" w:type="dxa"/>
              <w:right w:w="80" w:type="dxa"/>
            </w:tcMar>
            <w:vAlign w:val="center"/>
          </w:tcPr>
          <w:p w14:paraId="7A3A7332">
            <w:pPr>
              <w:spacing w:before="0" w:after="0" w:line="240" w:lineRule="auto"/>
              <w:jc w:val="center"/>
            </w:pPr>
            <w:r>
              <w:rPr>
                <w:rFonts w:ascii="Arial" w:hAnsi="Arial" w:eastAsia="Arial" w:cs="Arial"/>
                <w:b w:val="0"/>
                <w:color w:val="000000"/>
                <w:sz w:val="24"/>
                <w:szCs w:val="24"/>
              </w:rPr>
              <w:t>140 per 1,000</w:t>
            </w:r>
          </w:p>
        </w:tc>
        <w:tc>
          <w:tcPr>
            <w:tcW w:w="1710" w:type="dxa"/>
            <w:tcMar>
              <w:top w:w="50" w:type="dxa"/>
              <w:left w:w="80" w:type="dxa"/>
              <w:bottom w:w="50" w:type="dxa"/>
              <w:right w:w="80" w:type="dxa"/>
            </w:tcMar>
            <w:vAlign w:val="center"/>
          </w:tcPr>
          <w:p w14:paraId="06A60E7A">
            <w:pPr>
              <w:spacing w:before="0" w:after="0" w:line="240" w:lineRule="auto"/>
              <w:jc w:val="center"/>
            </w:pPr>
            <w:r>
              <w:rPr>
                <w:rFonts w:ascii="Arial" w:hAnsi="Arial" w:eastAsia="Arial" w:cs="Arial"/>
                <w:b w:val="0"/>
                <w:color w:val="000000"/>
                <w:sz w:val="24"/>
                <w:szCs w:val="24"/>
              </w:rPr>
              <w:t>110 per 1,000</w:t>
            </w:r>
            <w:r>
              <w:rPr>
                <w:rFonts w:ascii="Arial" w:hAnsi="Arial" w:eastAsia="Arial" w:cs="Arial"/>
                <w:color w:val="000000"/>
                <w:sz w:val="24"/>
                <w:szCs w:val="24"/>
              </w:rPr>
              <w:br w:type="textWrapping"/>
            </w:r>
            <w:r>
              <w:rPr>
                <w:rFonts w:ascii="Arial" w:hAnsi="Arial" w:eastAsia="Arial" w:cs="Arial"/>
                <w:b w:val="0"/>
                <w:color w:val="000000"/>
                <w:sz w:val="24"/>
                <w:szCs w:val="24"/>
              </w:rPr>
              <w:t>(28 to 437)</w:t>
            </w:r>
          </w:p>
        </w:tc>
        <w:tc>
          <w:tcPr>
            <w:tcW w:w="1800" w:type="dxa"/>
            <w:tcMar>
              <w:top w:w="50" w:type="dxa"/>
              <w:left w:w="80" w:type="dxa"/>
              <w:bottom w:w="50" w:type="dxa"/>
              <w:right w:w="80" w:type="dxa"/>
            </w:tcMar>
            <w:vAlign w:val="center"/>
          </w:tcPr>
          <w:p w14:paraId="381502E2">
            <w:pPr>
              <w:spacing w:before="0" w:after="0" w:line="240" w:lineRule="auto"/>
              <w:jc w:val="center"/>
            </w:pPr>
            <w:r>
              <w:rPr>
                <w:rFonts w:ascii="Arial" w:hAnsi="Arial" w:eastAsia="Arial" w:cs="Arial"/>
                <w:b w:val="0"/>
                <w:color w:val="000000"/>
                <w:sz w:val="24"/>
                <w:szCs w:val="24"/>
              </w:rPr>
              <w:t>30 fewer per 1,000</w:t>
            </w:r>
            <w:r>
              <w:rPr>
                <w:rFonts w:ascii="Arial" w:hAnsi="Arial" w:eastAsia="Arial" w:cs="Arial"/>
                <w:color w:val="000000"/>
                <w:sz w:val="24"/>
                <w:szCs w:val="24"/>
              </w:rPr>
              <w:br w:type="textWrapping"/>
            </w:r>
            <w:r>
              <w:rPr>
                <w:rFonts w:ascii="Arial" w:hAnsi="Arial" w:eastAsia="Arial" w:cs="Arial"/>
                <w:b w:val="0"/>
                <w:color w:val="000000"/>
                <w:sz w:val="24"/>
                <w:szCs w:val="24"/>
              </w:rPr>
              <w:t>(112 fewer to 297 more)</w:t>
            </w:r>
          </w:p>
        </w:tc>
        <w:tc>
          <w:tcPr>
            <w:tcW w:w="1040" w:type="dxa"/>
            <w:shd w:val="clear" w:color="auto" w:fill="FFF2F2"/>
            <w:tcMar>
              <w:top w:w="50" w:type="dxa"/>
              <w:left w:w="80" w:type="dxa"/>
              <w:bottom w:w="50" w:type="dxa"/>
              <w:right w:w="80" w:type="dxa"/>
            </w:tcMar>
            <w:vAlign w:val="center"/>
          </w:tcPr>
          <w:p w14:paraId="095D27B7">
            <w:pPr>
              <w:spacing w:before="0" w:after="0" w:line="240" w:lineRule="auto"/>
              <w:jc w:val="center"/>
            </w:pPr>
            <w:r>
              <w:rPr>
                <w:rFonts w:ascii="Arial" w:hAnsi="Arial" w:eastAsia="Arial" w:cs="Arial"/>
                <w:b w:val="0"/>
                <w:color w:val="000000"/>
                <w:sz w:val="24"/>
                <w:szCs w:val="24"/>
              </w:rPr>
              <w:t>Very low</w:t>
            </w:r>
            <w:r>
              <w:rPr>
                <w:rFonts w:ascii="Arial" w:hAnsi="Arial" w:eastAsia="Arial" w:cs="Arial"/>
                <w:color w:val="000000"/>
                <w:sz w:val="24"/>
                <w:szCs w:val="24"/>
              </w:rPr>
              <w:br w:type="textWrapping"/>
            </w:r>
            <w:r>
              <w:rPr>
                <w:rFonts w:ascii="Arial" w:hAnsi="Arial" w:eastAsia="Arial" w:cs="Arial"/>
                <w:b w:val="0"/>
                <w:color w:val="000000"/>
                <w:sz w:val="24"/>
                <w:szCs w:val="24"/>
              </w:rPr>
              <w:t>⨁◯◯◯</w:t>
            </w:r>
          </w:p>
        </w:tc>
        <w:tc>
          <w:tcPr>
            <w:tcW w:w="4150" w:type="dxa"/>
            <w:tcMar>
              <w:top w:w="50" w:type="dxa"/>
              <w:left w:w="80" w:type="dxa"/>
              <w:bottom w:w="50" w:type="dxa"/>
              <w:right w:w="80" w:type="dxa"/>
            </w:tcMar>
            <w:vAlign w:val="center"/>
          </w:tcPr>
          <w:p w14:paraId="4BEF0250">
            <w:pPr>
              <w:spacing w:before="0" w:after="0" w:line="240" w:lineRule="auto"/>
              <w:jc w:val="left"/>
            </w:pPr>
            <w:r>
              <w:rPr>
                <w:rFonts w:ascii="Arial" w:hAnsi="Arial" w:eastAsia="Arial" w:cs="Arial"/>
                <w:b w:val="0"/>
                <w:color w:val="000000"/>
                <w:sz w:val="24"/>
                <w:szCs w:val="24"/>
              </w:rPr>
              <w:t>The effect on wound-related reoperation is very uncertain.</w:t>
            </w:r>
          </w:p>
        </w:tc>
      </w:tr>
      <w:tr w14:paraId="532A008C">
        <w:tblPrEx>
          <w:tblBorders>
            <w:top w:val="single" w:color="CBD5E1" w:sz="4" w:space="0"/>
            <w:left w:val="single" w:color="CBD5E1" w:sz="4" w:space="0"/>
            <w:bottom w:val="single" w:color="CBD5E1" w:sz="4" w:space="0"/>
            <w:right w:val="single" w:color="CBD5E1" w:sz="4" w:space="0"/>
            <w:insideH w:val="single" w:color="CBD5E1" w:sz="4" w:space="0"/>
            <w:insideV w:val="single" w:color="CBD5E1" w:sz="4" w:space="0"/>
          </w:tblBorders>
          <w:tblCellMar>
            <w:top w:w="0" w:type="dxa"/>
            <w:left w:w="108" w:type="dxa"/>
            <w:bottom w:w="0" w:type="dxa"/>
            <w:right w:w="108" w:type="dxa"/>
          </w:tblCellMar>
        </w:tblPrEx>
        <w:trPr>
          <w:cantSplit/>
        </w:trPr>
        <w:tc>
          <w:tcPr>
            <w:tcW w:w="2050" w:type="dxa"/>
            <w:tcMar>
              <w:top w:w="50" w:type="dxa"/>
              <w:left w:w="80" w:type="dxa"/>
              <w:bottom w:w="50" w:type="dxa"/>
              <w:right w:w="80" w:type="dxa"/>
            </w:tcMar>
            <w:vAlign w:val="center"/>
          </w:tcPr>
          <w:p w14:paraId="55701046">
            <w:pPr>
              <w:spacing w:before="0" w:after="0" w:line="240" w:lineRule="auto"/>
              <w:jc w:val="left"/>
            </w:pPr>
            <w:r>
              <w:rPr>
                <w:rFonts w:ascii="Arial" w:hAnsi="Arial" w:eastAsia="Arial" w:cs="Arial"/>
                <w:b w:val="0"/>
                <w:color w:val="000000"/>
                <w:sz w:val="24"/>
                <w:szCs w:val="24"/>
              </w:rPr>
              <w:t>Composite wound complication</w:t>
            </w:r>
            <w:r>
              <w:rPr>
                <w:rFonts w:ascii="Arial" w:hAnsi="Arial" w:eastAsia="Arial" w:cs="Arial"/>
                <w:color w:val="000000"/>
                <w:sz w:val="24"/>
                <w:szCs w:val="24"/>
              </w:rPr>
              <w:br w:type="textWrapping"/>
            </w:r>
            <w:r>
              <w:rPr>
                <w:rFonts w:ascii="Arial" w:hAnsi="Arial" w:eastAsia="Arial" w:cs="Arial"/>
                <w:b w:val="0"/>
                <w:color w:val="000000"/>
                <w:sz w:val="24"/>
                <w:szCs w:val="24"/>
              </w:rPr>
              <w:t>(Important)</w:t>
            </w:r>
          </w:p>
        </w:tc>
        <w:tc>
          <w:tcPr>
            <w:tcW w:w="1030" w:type="dxa"/>
            <w:tcMar>
              <w:top w:w="50" w:type="dxa"/>
              <w:left w:w="80" w:type="dxa"/>
              <w:bottom w:w="50" w:type="dxa"/>
              <w:right w:w="80" w:type="dxa"/>
            </w:tcMar>
            <w:vAlign w:val="center"/>
          </w:tcPr>
          <w:p w14:paraId="43A155B8">
            <w:pPr>
              <w:spacing w:before="0" w:after="0" w:line="240" w:lineRule="auto"/>
              <w:jc w:val="center"/>
            </w:pPr>
            <w:r>
              <w:rPr>
                <w:rFonts w:ascii="Arial" w:hAnsi="Arial" w:eastAsia="Arial" w:cs="Arial"/>
                <w:b w:val="0"/>
                <w:color w:val="000000"/>
                <w:sz w:val="24"/>
                <w:szCs w:val="24"/>
              </w:rPr>
              <w:t>132</w:t>
            </w:r>
            <w:r>
              <w:rPr>
                <w:rFonts w:ascii="Arial" w:hAnsi="Arial" w:eastAsia="Arial" w:cs="Arial"/>
                <w:color w:val="000000"/>
                <w:sz w:val="24"/>
                <w:szCs w:val="24"/>
              </w:rPr>
              <w:br w:type="textWrapping"/>
            </w:r>
            <w:r>
              <w:rPr>
                <w:rFonts w:ascii="Arial" w:hAnsi="Arial" w:eastAsia="Arial" w:cs="Arial"/>
                <w:b w:val="0"/>
                <w:color w:val="000000"/>
                <w:sz w:val="24"/>
                <w:szCs w:val="24"/>
              </w:rPr>
              <w:t>(2 studies)</w:t>
            </w:r>
          </w:p>
        </w:tc>
        <w:tc>
          <w:tcPr>
            <w:tcW w:w="1700" w:type="dxa"/>
            <w:tcMar>
              <w:top w:w="50" w:type="dxa"/>
              <w:left w:w="80" w:type="dxa"/>
              <w:bottom w:w="50" w:type="dxa"/>
              <w:right w:w="80" w:type="dxa"/>
            </w:tcMar>
            <w:vAlign w:val="center"/>
          </w:tcPr>
          <w:p w14:paraId="671D2F08">
            <w:pPr>
              <w:spacing w:before="0" w:after="0" w:line="240" w:lineRule="auto"/>
              <w:jc w:val="center"/>
            </w:pPr>
            <w:r>
              <w:rPr>
                <w:rFonts w:ascii="Arial" w:hAnsi="Arial" w:eastAsia="Arial" w:cs="Arial"/>
                <w:b w:val="0"/>
                <w:color w:val="000000"/>
                <w:sz w:val="24"/>
                <w:szCs w:val="24"/>
              </w:rPr>
              <w:t>RR 0.24</w:t>
            </w:r>
            <w:r>
              <w:rPr>
                <w:rFonts w:ascii="Arial" w:hAnsi="Arial" w:eastAsia="Arial" w:cs="Arial"/>
                <w:color w:val="000000"/>
                <w:sz w:val="24"/>
                <w:szCs w:val="24"/>
              </w:rPr>
              <w:br w:type="textWrapping"/>
            </w:r>
            <w:r>
              <w:rPr>
                <w:rFonts w:ascii="Arial" w:hAnsi="Arial" w:eastAsia="Arial" w:cs="Arial"/>
                <w:b w:val="0"/>
                <w:color w:val="000000"/>
                <w:sz w:val="24"/>
                <w:szCs w:val="24"/>
              </w:rPr>
              <w:t>(0.08 to 0.75)</w:t>
            </w:r>
          </w:p>
        </w:tc>
        <w:tc>
          <w:tcPr>
            <w:tcW w:w="1150" w:type="dxa"/>
            <w:tcMar>
              <w:top w:w="50" w:type="dxa"/>
              <w:left w:w="80" w:type="dxa"/>
              <w:bottom w:w="50" w:type="dxa"/>
              <w:right w:w="80" w:type="dxa"/>
            </w:tcMar>
            <w:vAlign w:val="center"/>
          </w:tcPr>
          <w:p w14:paraId="29537E9D">
            <w:pPr>
              <w:spacing w:before="0" w:after="0" w:line="240" w:lineRule="auto"/>
              <w:jc w:val="center"/>
            </w:pPr>
            <w:r>
              <w:rPr>
                <w:rFonts w:ascii="Arial" w:hAnsi="Arial" w:eastAsia="Arial" w:cs="Arial"/>
                <w:b w:val="0"/>
                <w:color w:val="000000"/>
                <w:sz w:val="24"/>
                <w:szCs w:val="24"/>
              </w:rPr>
              <w:t>348 per 1,000</w:t>
            </w:r>
          </w:p>
        </w:tc>
        <w:tc>
          <w:tcPr>
            <w:tcW w:w="1710" w:type="dxa"/>
            <w:tcMar>
              <w:top w:w="50" w:type="dxa"/>
              <w:left w:w="80" w:type="dxa"/>
              <w:bottom w:w="50" w:type="dxa"/>
              <w:right w:w="80" w:type="dxa"/>
            </w:tcMar>
            <w:vAlign w:val="center"/>
          </w:tcPr>
          <w:p w14:paraId="69489672">
            <w:pPr>
              <w:spacing w:before="0" w:after="0" w:line="240" w:lineRule="auto"/>
              <w:jc w:val="center"/>
            </w:pPr>
            <w:r>
              <w:rPr>
                <w:rFonts w:ascii="Arial" w:hAnsi="Arial" w:eastAsia="Arial" w:cs="Arial"/>
                <w:b w:val="0"/>
                <w:color w:val="000000"/>
                <w:sz w:val="24"/>
                <w:szCs w:val="24"/>
              </w:rPr>
              <w:t>85 per 1,000</w:t>
            </w:r>
            <w:r>
              <w:rPr>
                <w:rFonts w:ascii="Arial" w:hAnsi="Arial" w:eastAsia="Arial" w:cs="Arial"/>
                <w:color w:val="000000"/>
                <w:sz w:val="24"/>
                <w:szCs w:val="24"/>
              </w:rPr>
              <w:br w:type="textWrapping"/>
            </w:r>
            <w:r>
              <w:rPr>
                <w:rFonts w:ascii="Arial" w:hAnsi="Arial" w:eastAsia="Arial" w:cs="Arial"/>
                <w:b w:val="0"/>
                <w:color w:val="000000"/>
                <w:sz w:val="24"/>
                <w:szCs w:val="24"/>
              </w:rPr>
              <w:t>(28 to 260)</w:t>
            </w:r>
          </w:p>
        </w:tc>
        <w:tc>
          <w:tcPr>
            <w:tcW w:w="1800" w:type="dxa"/>
            <w:tcMar>
              <w:top w:w="50" w:type="dxa"/>
              <w:left w:w="80" w:type="dxa"/>
              <w:bottom w:w="50" w:type="dxa"/>
              <w:right w:w="80" w:type="dxa"/>
            </w:tcMar>
            <w:vAlign w:val="center"/>
          </w:tcPr>
          <w:p w14:paraId="7C6B404F">
            <w:pPr>
              <w:spacing w:before="0" w:after="0" w:line="240" w:lineRule="auto"/>
              <w:jc w:val="center"/>
            </w:pPr>
            <w:r>
              <w:rPr>
                <w:rFonts w:ascii="Arial" w:hAnsi="Arial" w:eastAsia="Arial" w:cs="Arial"/>
                <w:b w:val="0"/>
                <w:color w:val="000000"/>
                <w:sz w:val="24"/>
                <w:szCs w:val="24"/>
              </w:rPr>
              <w:t>264 fewer per 1,000</w:t>
            </w:r>
            <w:r>
              <w:rPr>
                <w:rFonts w:ascii="Arial" w:hAnsi="Arial" w:eastAsia="Arial" w:cs="Arial"/>
                <w:color w:val="000000"/>
                <w:sz w:val="24"/>
                <w:szCs w:val="24"/>
              </w:rPr>
              <w:br w:type="textWrapping"/>
            </w:r>
            <w:r>
              <w:rPr>
                <w:rFonts w:ascii="Arial" w:hAnsi="Arial" w:eastAsia="Arial" w:cs="Arial"/>
                <w:b w:val="0"/>
                <w:color w:val="000000"/>
                <w:sz w:val="24"/>
                <w:szCs w:val="24"/>
              </w:rPr>
              <w:t>(321 fewer to 89 fewer)</w:t>
            </w:r>
          </w:p>
        </w:tc>
        <w:tc>
          <w:tcPr>
            <w:tcW w:w="1040" w:type="dxa"/>
            <w:shd w:val="clear" w:color="auto" w:fill="FFF2F2"/>
            <w:tcMar>
              <w:top w:w="50" w:type="dxa"/>
              <w:left w:w="80" w:type="dxa"/>
              <w:bottom w:w="50" w:type="dxa"/>
              <w:right w:w="80" w:type="dxa"/>
            </w:tcMar>
            <w:vAlign w:val="center"/>
          </w:tcPr>
          <w:p w14:paraId="00FC01AC">
            <w:pPr>
              <w:spacing w:before="0" w:after="0" w:line="240" w:lineRule="auto"/>
              <w:jc w:val="center"/>
            </w:pPr>
            <w:r>
              <w:rPr>
                <w:rFonts w:ascii="Arial" w:hAnsi="Arial" w:eastAsia="Arial" w:cs="Arial"/>
                <w:b w:val="0"/>
                <w:color w:val="000000"/>
                <w:sz w:val="24"/>
                <w:szCs w:val="24"/>
              </w:rPr>
              <w:t>Very low</w:t>
            </w:r>
            <w:r>
              <w:rPr>
                <w:rFonts w:ascii="Arial" w:hAnsi="Arial" w:eastAsia="Arial" w:cs="Arial"/>
                <w:color w:val="000000"/>
                <w:sz w:val="24"/>
                <w:szCs w:val="24"/>
              </w:rPr>
              <w:br w:type="textWrapping"/>
            </w:r>
            <w:r>
              <w:rPr>
                <w:rFonts w:ascii="Arial" w:hAnsi="Arial" w:eastAsia="Arial" w:cs="Arial"/>
                <w:b w:val="0"/>
                <w:color w:val="000000"/>
                <w:sz w:val="24"/>
                <w:szCs w:val="24"/>
              </w:rPr>
              <w:t>⨁◯◯◯</w:t>
            </w:r>
          </w:p>
        </w:tc>
        <w:tc>
          <w:tcPr>
            <w:tcW w:w="4150" w:type="dxa"/>
            <w:tcMar>
              <w:top w:w="50" w:type="dxa"/>
              <w:left w:w="80" w:type="dxa"/>
              <w:bottom w:w="50" w:type="dxa"/>
              <w:right w:w="80" w:type="dxa"/>
            </w:tcMar>
            <w:vAlign w:val="center"/>
          </w:tcPr>
          <w:p w14:paraId="53D49C9D">
            <w:pPr>
              <w:spacing w:before="0" w:after="0" w:line="240" w:lineRule="auto"/>
              <w:jc w:val="left"/>
            </w:pPr>
            <w:r>
              <w:rPr>
                <w:rFonts w:ascii="Arial" w:hAnsi="Arial" w:eastAsia="Arial" w:cs="Arial"/>
                <w:b w:val="0"/>
                <w:color w:val="000000"/>
                <w:sz w:val="24"/>
                <w:szCs w:val="24"/>
              </w:rPr>
              <w:t>A Wald signal was observed, but certainty is very low; this does not establish benefit.</w:t>
            </w:r>
          </w:p>
        </w:tc>
      </w:tr>
      <w:tr w14:paraId="2D348EDA">
        <w:tblPrEx>
          <w:tblBorders>
            <w:top w:val="single" w:color="CBD5E1" w:sz="4" w:space="0"/>
            <w:left w:val="single" w:color="CBD5E1" w:sz="4" w:space="0"/>
            <w:bottom w:val="single" w:color="CBD5E1" w:sz="4" w:space="0"/>
            <w:right w:val="single" w:color="CBD5E1" w:sz="4" w:space="0"/>
            <w:insideH w:val="single" w:color="CBD5E1" w:sz="4" w:space="0"/>
            <w:insideV w:val="single" w:color="CBD5E1" w:sz="4" w:space="0"/>
          </w:tblBorders>
          <w:tblCellMar>
            <w:top w:w="0" w:type="dxa"/>
            <w:left w:w="108" w:type="dxa"/>
            <w:bottom w:w="0" w:type="dxa"/>
            <w:right w:w="108" w:type="dxa"/>
          </w:tblCellMar>
        </w:tblPrEx>
        <w:trPr>
          <w:cantSplit/>
        </w:trPr>
        <w:tc>
          <w:tcPr>
            <w:tcW w:w="2050" w:type="dxa"/>
            <w:tcMar>
              <w:top w:w="50" w:type="dxa"/>
              <w:left w:w="80" w:type="dxa"/>
              <w:bottom w:w="50" w:type="dxa"/>
              <w:right w:w="80" w:type="dxa"/>
            </w:tcMar>
            <w:vAlign w:val="center"/>
          </w:tcPr>
          <w:p w14:paraId="4EDAEEBE">
            <w:pPr>
              <w:spacing w:before="0" w:after="0" w:line="240" w:lineRule="auto"/>
              <w:jc w:val="left"/>
            </w:pPr>
            <w:r>
              <w:rPr>
                <w:rFonts w:ascii="Arial" w:hAnsi="Arial" w:eastAsia="Arial" w:cs="Arial"/>
                <w:b w:val="0"/>
                <w:color w:val="000000"/>
                <w:sz w:val="24"/>
                <w:szCs w:val="24"/>
              </w:rPr>
              <w:t>Seroma volume (ultrasound), postoperative day 5</w:t>
            </w:r>
            <w:r>
              <w:rPr>
                <w:rFonts w:ascii="Arial" w:hAnsi="Arial" w:eastAsia="Arial" w:cs="Arial"/>
                <w:color w:val="000000"/>
                <w:sz w:val="24"/>
                <w:szCs w:val="24"/>
              </w:rPr>
              <w:br w:type="textWrapping"/>
            </w:r>
            <w:r>
              <w:rPr>
                <w:rFonts w:ascii="Arial" w:hAnsi="Arial" w:eastAsia="Arial" w:cs="Arial"/>
                <w:b w:val="0"/>
                <w:color w:val="000000"/>
                <w:sz w:val="24"/>
                <w:szCs w:val="24"/>
              </w:rPr>
              <w:t>(Important)</w:t>
            </w:r>
          </w:p>
        </w:tc>
        <w:tc>
          <w:tcPr>
            <w:tcW w:w="1030" w:type="dxa"/>
            <w:tcMar>
              <w:top w:w="50" w:type="dxa"/>
              <w:left w:w="80" w:type="dxa"/>
              <w:bottom w:w="50" w:type="dxa"/>
              <w:right w:w="80" w:type="dxa"/>
            </w:tcMar>
            <w:vAlign w:val="center"/>
          </w:tcPr>
          <w:p w14:paraId="47278175">
            <w:pPr>
              <w:spacing w:before="0" w:after="0" w:line="240" w:lineRule="auto"/>
              <w:jc w:val="center"/>
            </w:pPr>
            <w:r>
              <w:rPr>
                <w:rFonts w:ascii="Arial" w:hAnsi="Arial" w:eastAsia="Arial" w:cs="Arial"/>
                <w:b w:val="0"/>
                <w:color w:val="000000"/>
                <w:sz w:val="24"/>
                <w:szCs w:val="24"/>
              </w:rPr>
              <w:t>21</w:t>
            </w:r>
            <w:r>
              <w:rPr>
                <w:rFonts w:ascii="Arial" w:hAnsi="Arial" w:eastAsia="Arial" w:cs="Arial"/>
                <w:color w:val="000000"/>
                <w:sz w:val="24"/>
                <w:szCs w:val="24"/>
              </w:rPr>
              <w:br w:type="textWrapping"/>
            </w:r>
            <w:r>
              <w:rPr>
                <w:rFonts w:ascii="Arial" w:hAnsi="Arial" w:eastAsia="Arial" w:cs="Arial"/>
                <w:b w:val="0"/>
                <w:color w:val="000000"/>
                <w:sz w:val="24"/>
                <w:szCs w:val="24"/>
              </w:rPr>
              <w:t>(1 RCT)</w:t>
            </w:r>
          </w:p>
        </w:tc>
        <w:tc>
          <w:tcPr>
            <w:tcW w:w="1700" w:type="dxa"/>
            <w:tcMar>
              <w:top w:w="50" w:type="dxa"/>
              <w:left w:w="80" w:type="dxa"/>
              <w:bottom w:w="50" w:type="dxa"/>
              <w:right w:w="80" w:type="dxa"/>
            </w:tcMar>
            <w:vAlign w:val="center"/>
          </w:tcPr>
          <w:p w14:paraId="23CE52FB">
            <w:pPr>
              <w:spacing w:before="0" w:after="0" w:line="240" w:lineRule="auto"/>
              <w:jc w:val="center"/>
            </w:pPr>
            <w:r>
              <w:rPr>
                <w:rFonts w:ascii="Arial" w:hAnsi="Arial" w:eastAsia="Arial" w:cs="Arial"/>
                <w:b w:val="0"/>
                <w:color w:val="000000"/>
                <w:sz w:val="24"/>
                <w:szCs w:val="24"/>
              </w:rPr>
              <w:t>MD -3.74 cm³</w:t>
            </w:r>
            <w:r>
              <w:rPr>
                <w:rFonts w:ascii="Arial" w:hAnsi="Arial" w:eastAsia="Arial" w:cs="Arial"/>
                <w:color w:val="000000"/>
                <w:sz w:val="24"/>
                <w:szCs w:val="24"/>
              </w:rPr>
              <w:br w:type="textWrapping"/>
            </w:r>
            <w:r>
              <w:rPr>
                <w:rFonts w:ascii="Arial" w:hAnsi="Arial" w:eastAsia="Arial" w:cs="Arial"/>
                <w:b w:val="0"/>
                <w:color w:val="000000"/>
                <w:sz w:val="24"/>
                <w:szCs w:val="24"/>
              </w:rPr>
              <w:t>(-6.87 to -0.60)</w:t>
            </w:r>
          </w:p>
        </w:tc>
        <w:tc>
          <w:tcPr>
            <w:tcW w:w="1150" w:type="dxa"/>
            <w:tcMar>
              <w:top w:w="50" w:type="dxa"/>
              <w:left w:w="80" w:type="dxa"/>
              <w:bottom w:w="50" w:type="dxa"/>
              <w:right w:w="80" w:type="dxa"/>
            </w:tcMar>
            <w:vAlign w:val="center"/>
          </w:tcPr>
          <w:p w14:paraId="6186548B">
            <w:pPr>
              <w:spacing w:before="0" w:after="0" w:line="240" w:lineRule="auto"/>
              <w:jc w:val="center"/>
            </w:pPr>
            <w:r>
              <w:rPr>
                <w:rFonts w:ascii="Arial" w:hAnsi="Arial" w:eastAsia="Arial" w:cs="Arial"/>
                <w:b w:val="0"/>
                <w:color w:val="000000"/>
                <w:sz w:val="24"/>
                <w:szCs w:val="24"/>
              </w:rPr>
              <w:t>Not applicable</w:t>
            </w:r>
          </w:p>
        </w:tc>
        <w:tc>
          <w:tcPr>
            <w:tcW w:w="1710" w:type="dxa"/>
            <w:tcMar>
              <w:top w:w="50" w:type="dxa"/>
              <w:left w:w="80" w:type="dxa"/>
              <w:bottom w:w="50" w:type="dxa"/>
              <w:right w:w="80" w:type="dxa"/>
            </w:tcMar>
            <w:vAlign w:val="center"/>
          </w:tcPr>
          <w:p w14:paraId="21EB90B9">
            <w:pPr>
              <w:spacing w:before="0" w:after="0" w:line="240" w:lineRule="auto"/>
              <w:jc w:val="center"/>
            </w:pPr>
            <w:r>
              <w:rPr>
                <w:rFonts w:ascii="Arial" w:hAnsi="Arial" w:eastAsia="Arial" w:cs="Arial"/>
                <w:b w:val="0"/>
                <w:color w:val="000000"/>
                <w:sz w:val="24"/>
                <w:szCs w:val="24"/>
              </w:rPr>
              <w:t>Not applicable</w:t>
            </w:r>
          </w:p>
        </w:tc>
        <w:tc>
          <w:tcPr>
            <w:tcW w:w="1800" w:type="dxa"/>
            <w:tcMar>
              <w:top w:w="50" w:type="dxa"/>
              <w:left w:w="80" w:type="dxa"/>
              <w:bottom w:w="50" w:type="dxa"/>
              <w:right w:w="80" w:type="dxa"/>
            </w:tcMar>
            <w:vAlign w:val="center"/>
          </w:tcPr>
          <w:p w14:paraId="5C48C4A4">
            <w:pPr>
              <w:spacing w:before="0" w:after="0" w:line="240" w:lineRule="auto"/>
              <w:jc w:val="center"/>
            </w:pPr>
            <w:r>
              <w:rPr>
                <w:rFonts w:ascii="Arial" w:hAnsi="Arial" w:eastAsia="Arial" w:cs="Arial"/>
                <w:b w:val="0"/>
                <w:color w:val="000000"/>
                <w:sz w:val="24"/>
                <w:szCs w:val="24"/>
              </w:rPr>
              <w:t>Mean difference: 3.74 cm³ lower</w:t>
            </w:r>
            <w:r>
              <w:rPr>
                <w:rFonts w:ascii="Arial" w:hAnsi="Arial" w:eastAsia="Arial" w:cs="Arial"/>
                <w:color w:val="000000"/>
                <w:sz w:val="24"/>
                <w:szCs w:val="24"/>
              </w:rPr>
              <w:br w:type="textWrapping"/>
            </w:r>
            <w:r>
              <w:rPr>
                <w:rFonts w:ascii="Arial" w:hAnsi="Arial" w:eastAsia="Arial" w:cs="Arial"/>
                <w:b w:val="0"/>
                <w:color w:val="000000"/>
                <w:sz w:val="24"/>
                <w:szCs w:val="24"/>
              </w:rPr>
              <w:t>(6.87 lower to 0.60 lower)</w:t>
            </w:r>
          </w:p>
        </w:tc>
        <w:tc>
          <w:tcPr>
            <w:tcW w:w="1040" w:type="dxa"/>
            <w:shd w:val="clear" w:color="auto" w:fill="FFF2F2"/>
            <w:tcMar>
              <w:top w:w="50" w:type="dxa"/>
              <w:left w:w="80" w:type="dxa"/>
              <w:bottom w:w="50" w:type="dxa"/>
              <w:right w:w="80" w:type="dxa"/>
            </w:tcMar>
            <w:vAlign w:val="center"/>
          </w:tcPr>
          <w:p w14:paraId="0B77DB69">
            <w:pPr>
              <w:spacing w:before="0" w:after="0" w:line="240" w:lineRule="auto"/>
              <w:jc w:val="center"/>
            </w:pPr>
            <w:r>
              <w:rPr>
                <w:rFonts w:ascii="Arial" w:hAnsi="Arial" w:eastAsia="Arial" w:cs="Arial"/>
                <w:b w:val="0"/>
                <w:color w:val="000000"/>
                <w:sz w:val="24"/>
                <w:szCs w:val="24"/>
              </w:rPr>
              <w:t>Very low</w:t>
            </w:r>
            <w:r>
              <w:rPr>
                <w:rFonts w:ascii="Arial" w:hAnsi="Arial" w:eastAsia="Arial" w:cs="Arial"/>
                <w:color w:val="000000"/>
                <w:sz w:val="24"/>
                <w:szCs w:val="24"/>
              </w:rPr>
              <w:br w:type="textWrapping"/>
            </w:r>
            <w:r>
              <w:rPr>
                <w:rFonts w:ascii="Arial" w:hAnsi="Arial" w:eastAsia="Arial" w:cs="Arial"/>
                <w:b w:val="0"/>
                <w:color w:val="000000"/>
                <w:sz w:val="24"/>
                <w:szCs w:val="24"/>
              </w:rPr>
              <w:t>⨁◯◯◯</w:t>
            </w:r>
          </w:p>
        </w:tc>
        <w:tc>
          <w:tcPr>
            <w:tcW w:w="4150" w:type="dxa"/>
            <w:tcMar>
              <w:top w:w="50" w:type="dxa"/>
              <w:left w:w="80" w:type="dxa"/>
              <w:bottom w:w="50" w:type="dxa"/>
              <w:right w:w="80" w:type="dxa"/>
            </w:tcMar>
            <w:vAlign w:val="center"/>
          </w:tcPr>
          <w:p w14:paraId="62190F49">
            <w:pPr>
              <w:spacing w:before="0" w:after="0" w:line="240" w:lineRule="auto"/>
              <w:jc w:val="left"/>
            </w:pPr>
            <w:r>
              <w:rPr>
                <w:rFonts w:ascii="Arial" w:hAnsi="Arial" w:eastAsia="Arial" w:cs="Arial"/>
                <w:b w:val="0"/>
                <w:color w:val="000000"/>
                <w:sz w:val="24"/>
                <w:szCs w:val="24"/>
              </w:rPr>
              <w:t>A single very small RCT suggests lower seroma volume; the effect is very uncertain.</w:t>
            </w:r>
          </w:p>
        </w:tc>
      </w:tr>
      <w:tr w14:paraId="01E2877F">
        <w:tblPrEx>
          <w:tblBorders>
            <w:top w:val="single" w:color="CBD5E1" w:sz="4" w:space="0"/>
            <w:left w:val="single" w:color="CBD5E1" w:sz="4" w:space="0"/>
            <w:bottom w:val="single" w:color="CBD5E1" w:sz="4" w:space="0"/>
            <w:right w:val="single" w:color="CBD5E1" w:sz="4" w:space="0"/>
            <w:insideH w:val="single" w:color="CBD5E1" w:sz="4" w:space="0"/>
            <w:insideV w:val="single" w:color="CBD5E1" w:sz="4" w:space="0"/>
          </w:tblBorders>
          <w:tblCellMar>
            <w:top w:w="0" w:type="dxa"/>
            <w:left w:w="108" w:type="dxa"/>
            <w:bottom w:w="0" w:type="dxa"/>
            <w:right w:w="108" w:type="dxa"/>
          </w:tblCellMar>
        </w:tblPrEx>
        <w:trPr>
          <w:cantSplit/>
        </w:trPr>
        <w:tc>
          <w:tcPr>
            <w:tcW w:w="2050" w:type="dxa"/>
            <w:tcMar>
              <w:top w:w="50" w:type="dxa"/>
              <w:left w:w="80" w:type="dxa"/>
              <w:bottom w:w="50" w:type="dxa"/>
              <w:right w:w="80" w:type="dxa"/>
            </w:tcMar>
            <w:vAlign w:val="center"/>
          </w:tcPr>
          <w:p w14:paraId="6C3918A4">
            <w:pPr>
              <w:spacing w:before="0" w:after="0" w:line="240" w:lineRule="auto"/>
              <w:jc w:val="left"/>
            </w:pPr>
            <w:r>
              <w:rPr>
                <w:rFonts w:ascii="Arial" w:hAnsi="Arial" w:eastAsia="Arial" w:cs="Arial"/>
                <w:b w:val="0"/>
                <w:color w:val="000000"/>
                <w:sz w:val="24"/>
                <w:szCs w:val="24"/>
              </w:rPr>
              <w:t>Hematoma, any time point</w:t>
              <w:br/>
              <w:t>(Critical)</w:t>
            </w:r>
            <w:r>
              <w:rPr>
                <w:rFonts w:ascii="Arial" w:hAnsi="Arial" w:eastAsia="Arial" w:cs="Arial"/>
                <w:color w:val="000000"/>
                <w:sz w:val="24"/>
                <w:szCs w:val="24"/>
              </w:rPr>
            </w:r>
            <w:r>
              <w:rPr>
                <w:rFonts w:ascii="Arial" w:hAnsi="Arial" w:eastAsia="Arial" w:cs="Arial"/>
                <w:b w:val="0"/>
                <w:color w:val="000000"/>
                <w:sz w:val="24"/>
                <w:szCs w:val="24"/>
              </w:rPr>
            </w:r>
          </w:p>
        </w:tc>
        <w:tc>
          <w:tcPr>
            <w:tcW w:w="1030" w:type="dxa"/>
            <w:tcMar>
              <w:top w:w="50" w:type="dxa"/>
              <w:left w:w="80" w:type="dxa"/>
              <w:bottom w:w="50" w:type="dxa"/>
              <w:right w:w="80" w:type="dxa"/>
            </w:tcMar>
            <w:vAlign w:val="center"/>
          </w:tcPr>
          <w:p w14:paraId="184F2CB0">
            <w:pPr>
              <w:spacing w:before="0" w:after="0" w:line="240" w:lineRule="auto"/>
              <w:jc w:val="center"/>
            </w:pPr>
            <w:r>
              <w:rPr>
                <w:rFonts w:ascii="Arial" w:hAnsi="Arial" w:eastAsia="Arial" w:cs="Arial"/>
                <w:b w:val="0"/>
                <w:color w:val="000000"/>
                <w:sz w:val="24"/>
                <w:szCs w:val="24"/>
              </w:rPr>
              <w:t>No eligible studies</w:t>
            </w:r>
          </w:p>
        </w:tc>
        <w:tc>
          <w:tcPr>
            <w:tcW w:w="1700" w:type="dxa"/>
            <w:tcMar>
              <w:top w:w="50" w:type="dxa"/>
              <w:left w:w="80" w:type="dxa"/>
              <w:bottom w:w="50" w:type="dxa"/>
              <w:right w:w="80" w:type="dxa"/>
            </w:tcMar>
            <w:vAlign w:val="center"/>
          </w:tcPr>
          <w:p w14:paraId="76CB538E">
            <w:pPr>
              <w:spacing w:before="0" w:after="0" w:line="240" w:lineRule="auto"/>
              <w:jc w:val="center"/>
            </w:pPr>
            <w:r>
              <w:rPr>
                <w:rFonts w:ascii="Arial" w:hAnsi="Arial" w:eastAsia="Arial" w:cs="Arial"/>
                <w:b w:val="0"/>
                <w:color w:val="000000"/>
                <w:sz w:val="24"/>
                <w:szCs w:val="24"/>
              </w:rPr>
              <w:t>Not estimable</w:t>
            </w:r>
          </w:p>
        </w:tc>
        <w:tc>
          <w:tcPr>
            <w:tcW w:w="1150" w:type="dxa"/>
            <w:tcMar>
              <w:top w:w="50" w:type="dxa"/>
              <w:left w:w="80" w:type="dxa"/>
              <w:bottom w:w="50" w:type="dxa"/>
              <w:right w:w="80" w:type="dxa"/>
            </w:tcMar>
            <w:vAlign w:val="center"/>
          </w:tcPr>
          <w:p w14:paraId="25822AB9">
            <w:pPr>
              <w:spacing w:before="0" w:after="0" w:line="240" w:lineRule="auto"/>
              <w:jc w:val="center"/>
            </w:pPr>
            <w:r>
              <w:rPr>
                <w:rFonts w:ascii="Arial" w:hAnsi="Arial" w:eastAsia="Arial" w:cs="Arial"/>
                <w:b w:val="0"/>
                <w:color w:val="000000"/>
                <w:sz w:val="24"/>
                <w:szCs w:val="24"/>
              </w:rPr>
              <w:t>Not applicable</w:t>
            </w:r>
          </w:p>
        </w:tc>
        <w:tc>
          <w:tcPr>
            <w:tcW w:w="1710" w:type="dxa"/>
            <w:tcMar>
              <w:top w:w="50" w:type="dxa"/>
              <w:left w:w="80" w:type="dxa"/>
              <w:bottom w:w="50" w:type="dxa"/>
              <w:right w:w="80" w:type="dxa"/>
            </w:tcMar>
            <w:vAlign w:val="center"/>
          </w:tcPr>
          <w:p w14:paraId="670AACC9">
            <w:pPr>
              <w:spacing w:before="0" w:after="0" w:line="240" w:lineRule="auto"/>
              <w:jc w:val="center"/>
            </w:pPr>
            <w:r>
              <w:rPr>
                <w:rFonts w:ascii="Arial" w:hAnsi="Arial" w:eastAsia="Arial" w:cs="Arial"/>
                <w:b w:val="0"/>
                <w:color w:val="000000"/>
                <w:sz w:val="24"/>
                <w:szCs w:val="24"/>
              </w:rPr>
              <w:t>Not applicable</w:t>
            </w:r>
          </w:p>
        </w:tc>
        <w:tc>
          <w:tcPr>
            <w:tcW w:w="1800" w:type="dxa"/>
            <w:tcMar>
              <w:top w:w="50" w:type="dxa"/>
              <w:left w:w="80" w:type="dxa"/>
              <w:bottom w:w="50" w:type="dxa"/>
              <w:right w:w="80" w:type="dxa"/>
            </w:tcMar>
            <w:vAlign w:val="center"/>
          </w:tcPr>
          <w:p w14:paraId="6475B186">
            <w:pPr>
              <w:spacing w:before="0" w:after="0" w:line="240" w:lineRule="auto"/>
              <w:jc w:val="center"/>
            </w:pPr>
            <w:r>
              <w:rPr>
                <w:rFonts w:ascii="Arial" w:hAnsi="Arial" w:eastAsia="Arial" w:cs="Arial"/>
                <w:b w:val="0"/>
                <w:color w:val="000000"/>
                <w:sz w:val="24"/>
                <w:szCs w:val="24"/>
              </w:rPr>
              <w:t>Not estimable</w:t>
            </w:r>
          </w:p>
        </w:tc>
        <w:tc>
          <w:tcPr>
            <w:tcW w:w="1040" w:type="dxa"/>
            <w:shd w:val="clear" w:color="auto" w:fill="F8FAFC"/>
            <w:tcMar>
              <w:top w:w="50" w:type="dxa"/>
              <w:left w:w="80" w:type="dxa"/>
              <w:bottom w:w="50" w:type="dxa"/>
              <w:right w:w="80" w:type="dxa"/>
            </w:tcMar>
            <w:vAlign w:val="center"/>
          </w:tcPr>
          <w:p w14:paraId="0A01CCE7">
            <w:pPr>
              <w:spacing w:before="0" w:after="0" w:line="240" w:lineRule="auto"/>
              <w:jc w:val="center"/>
            </w:pPr>
            <w:r>
              <w:rPr>
                <w:rFonts w:ascii="Arial" w:hAnsi="Arial" w:eastAsia="Arial" w:cs="Arial"/>
                <w:b w:val="0"/>
                <w:color w:val="000000"/>
                <w:sz w:val="24"/>
                <w:szCs w:val="24"/>
              </w:rPr>
              <w:t>Not graded</w:t>
            </w:r>
          </w:p>
        </w:tc>
        <w:tc>
          <w:tcPr>
            <w:tcW w:w="4150" w:type="dxa"/>
            <w:tcMar>
              <w:top w:w="50" w:type="dxa"/>
              <w:left w:w="80" w:type="dxa"/>
              <w:bottom w:w="50" w:type="dxa"/>
              <w:right w:w="80" w:type="dxa"/>
            </w:tcMar>
            <w:vAlign w:val="center"/>
          </w:tcPr>
          <w:p w14:paraId="6B5ED736">
            <w:pPr>
              <w:spacing w:before="0" w:after="0" w:line="240" w:lineRule="auto"/>
              <w:jc w:val="left"/>
            </w:pPr>
            <w:r>
              <w:rPr>
                <w:rFonts w:ascii="Arial" w:hAnsi="Arial" w:eastAsia="Arial" w:cs="Arial"/>
                <w:b w:val="0"/>
                <w:color w:val="000000"/>
                <w:sz w:val="24"/>
                <w:szCs w:val="24"/>
              </w:rPr>
              <w:t>No eligible study reported an independently assessable hematoma comparison.</w:t>
            </w:r>
          </w:p>
        </w:tc>
      </w:tr>
    </w:tbl>
    <w:p w14:paraId="6037923D">
      <w:pPr>
        <w:spacing w:before="80" w:after="0" w:line="240" w:lineRule="auto"/>
      </w:pPr>
      <w:r>
        <w:rPr>
          <w:rFonts w:ascii="Arial" w:hAnsi="Arial" w:eastAsia="Arial" w:cs="Arial"/>
          <w:color w:val="000000"/>
          <w:sz w:val="24"/>
          <w:szCs w:val="24"/>
        </w:rPr>
        <w:t>GRADE Working Group certainty categories: high, moderate, low, and very low. Very low certainty means that the true effect is likely to be substantially different from the estimate of effect.</w:t>
      </w:r>
    </w:p>
    <w:p w14:paraId="3BB8B11C">
      <w:pPr>
        <w:spacing w:before="80" w:after="0" w:line="240" w:lineRule="auto"/>
      </w:pPr>
      <w:r>
        <w:rPr>
          <w:rFonts w:ascii="Arial" w:hAnsi="Arial" w:eastAsia="Arial" w:cs="Arial"/>
          <w:color w:val="000000"/>
          <w:sz w:val="24"/>
          <w:szCs w:val="24"/>
        </w:rPr>
        <w:t>The assumed risk is the risk with standard dressing. The risk with ciNPWT and its 95% confidence interval are based on the assumed risk and the relative effect. Observational analyses were exploratory; the final two-reviewer ROBINS-I consensus judged all five studies at serious risk of bias.</w:t>
      </w:r>
    </w:p>
    <w:p w14:paraId="0AE55F94">
      <w:pPr>
        <w:spacing w:before="80" w:after="0" w:line="240" w:lineRule="auto"/>
      </w:pPr>
      <w:r>
        <w:rPr>
          <w:rFonts w:ascii="Arial" w:hAnsi="Arial" w:eastAsia="Arial" w:cs="Arial"/>
          <w:color w:val="000000"/>
          <w:sz w:val="24"/>
          <w:szCs w:val="24"/>
        </w:rPr>
        <w:t>Source: locked GRADE evidence-certainty workbook (Core SoF sheet), statistical version 10 August 2026; risk-of-bias consensus 13 August 2026.</w:t>
      </w:r>
    </w:p>
    <w:p w14:paraId="764001B1">
      <w:r>
        <w:rPr>
          <w:rFonts w:ascii="Arial" w:hAnsi="Arial" w:eastAsia="Arial" w:cs="Arial"/>
          <w:color w:val="000000"/>
          <w:sz w:val="24"/>
          <w:szCs w:val="24"/>
        </w:rPr>
        <w:t>Inconsistency assessment. Model-consistent I², REML τ², Cochran’s Q, effect direction and magnitude, and clinical/methodological diversity were considered together; certainty was not downgraded from an I² threshold alone.</w:t>
      </w:r>
    </w:p>
    <w:p w14:paraId="2E2054BE">
      <w:r>
        <w:rPr>
          <w:rFonts w:ascii="Arial" w:hAnsi="Arial" w:eastAsia="Arial" w:cs="Arial"/>
          <w:color w:val="000000"/>
          <w:sz w:val="24"/>
          <w:szCs w:val="24"/>
        </w:rPr>
        <w:t>Randomized evidence was downgraded for the final consensus risk-of-bias judgements, inconsistency in effect magnitude, and very serious imprecision. Heterogeneity estimates were interpreted cautiously because only two trials were available.</w:t>
      </w:r>
    </w:p>
    <w:p w14:paraId="473DCEE9">
      <w:r>
        <w:rPr>
          <w:rFonts w:ascii="Arial" w:hAnsi="Arial" w:eastAsia="Arial" w:cs="Arial"/>
          <w:color w:val="000000"/>
          <w:sz w:val="24"/>
          <w:szCs w:val="24"/>
        </w:rPr>
        <w:t>Observational estimates were exploratory and based on unadjusted event counts; they were downgraded for serious risk of confounding, inconsistency, indirectness, and very serious imprecision.</w:t>
      </w:r>
    </w:p>
    <w:p w14:paraId="3EADB202">
      <w:r>
        <w:rPr>
          <w:rFonts w:ascii="Arial" w:hAnsi="Arial" w:eastAsia="Arial" w:cs="Arial"/>
          <w:b/>
          <w:color w:val="000000"/>
          <w:sz w:val="24"/>
          <w:szCs w:val="24"/>
        </w:rPr>
        <w:t>Statistical lock: 10 August 2026. Primary RCT deep-SSI analysis: RR 0.64 (95% CI 0.29 to 1.44), model-consistent I² = 62.0%.</w:t>
      </w:r>
    </w:p>
    <w:p w14:paraId="746C0997">
      <w:r>
        <w:rPr>
          <w:rFonts w:ascii="Arial" w:hAnsi="Arial" w:eastAsia="Arial" w:cs="Arial"/>
          <w:color w:val="000000"/>
          <w:sz w:val="24"/>
          <w:szCs w:val="24"/>
        </w:rPr>
        <w:t>Risk-of-bias consensus. For the 90-day deep-SSI result, WHISH was judged as some concerns and WHIST as high risk; for the 30-day result, WHISH was judged as some concerns and WHIST as low risk. All five observational studies were judged at serious risk of bias. These consensus judgements did not change the final certainty categories.</w:t>
      </w:r>
    </w:p>
    <w:sectPr>
      <w:headerReference w:type="default" r:id="rId9"/>
      <w:headerReference w:type="first" r:id="rId10"/>
      <w:headerReference w:type="even" r:id="rId11"/>
      <w:footerReference w:type="default" r:id="rId12"/>
      <w:footerReference w:type="first" r:id="rId13"/>
      <w:footerReference w:type="even" r:id="rId14"/>
      <w:pgSz w:w="15840" w:h="12240" w:orient="landscape"/>
      <w:pgMar w:top="547" w:right="605" w:bottom="547" w:left="605" w:header="360" w:footer="36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86"/>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Arial" w:hAnsi="Arial" w:eastAsia="Arial" w:cs="Arial"/>
        <w:color w:val="000000"/>
        <w:sz w:val="24"/>
        <w:szCs w:val="24"/>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Arial" w:hAnsi="Arial" w:eastAsia="Arial" w:cs="Arial"/>
        <w:color w:val="000000"/>
        <w:sz w:val="24"/>
        <w:szCs w:val="24"/>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Arial" w:hAnsi="Arial" w:eastAsia="Arial" w:cs="Arial"/>
        <w:color w:val="000000"/>
        <w:sz w:val="24"/>
        <w:szCs w:val="24"/>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2720F6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Arial"/>
      <w:color w:val="000000"/>
      <w:sz w:val="24"/>
      <w:szCs w:val="24"/>
      <w:lang w:val="en-US" w:eastAsia="en-US" w:bidi="ar-SA"/>
    </w:rPr>
  </w:style>
  <w:style w:type="paragraph" w:styleId="3">
    <w:name w:val="heading 1"/>
    <w:basedOn w:val="1"/>
    <w:next w:val="1"/>
    <w:link w:val="138"/>
    <w:qFormat/>
    <w:uiPriority w:val="9"/>
    <w:pPr>
      <w:keepNext/>
      <w:keepLines/>
      <w:spacing w:before="480" w:after="0"/>
      <w:outlineLvl w:val="0"/>
    </w:pPr>
    <w:rPr>
      <w:rFonts w:ascii="Arial" w:hAnsi="Arial" w:eastAsia="Arial" w:cs="Arial"/>
      <w:b/>
      <w:bCs/>
      <w:color w:val="000000"/>
      <w:sz w:val="24"/>
      <w:szCs w:val="24"/>
    </w:rPr>
  </w:style>
  <w:style w:type="paragraph" w:styleId="4">
    <w:name w:val="heading 2"/>
    <w:basedOn w:val="1"/>
    <w:next w:val="1"/>
    <w:link w:val="139"/>
    <w:unhideWhenUsed/>
    <w:qFormat/>
    <w:uiPriority w:val="9"/>
    <w:pPr>
      <w:keepNext/>
      <w:keepLines/>
      <w:spacing w:before="200" w:after="0"/>
      <w:outlineLvl w:val="1"/>
    </w:pPr>
    <w:rPr>
      <w:rFonts w:ascii="Arial" w:hAnsi="Arial" w:eastAsia="Arial" w:cs="Arial"/>
      <w:b/>
      <w:bCs/>
      <w:color w:val="000000"/>
      <w:sz w:val="24"/>
      <w:szCs w:val="24"/>
    </w:rPr>
  </w:style>
  <w:style w:type="paragraph" w:styleId="5">
    <w:name w:val="heading 3"/>
    <w:basedOn w:val="1"/>
    <w:next w:val="1"/>
    <w:link w:val="140"/>
    <w:unhideWhenUsed/>
    <w:qFormat/>
    <w:uiPriority w:val="9"/>
    <w:pPr>
      <w:keepNext/>
      <w:keepLines/>
      <w:spacing w:before="200" w:after="0"/>
      <w:outlineLvl w:val="2"/>
    </w:pPr>
    <w:rPr>
      <w:rFonts w:ascii="Arial" w:hAnsi="Arial" w:eastAsia="Arial" w:cs="Arial"/>
      <w:b/>
      <w:bCs/>
      <w:color w:val="000000"/>
      <w:sz w:val="24"/>
      <w:szCs w:val="24"/>
    </w:rPr>
  </w:style>
  <w:style w:type="paragraph" w:styleId="6">
    <w:name w:val="heading 4"/>
    <w:basedOn w:val="1"/>
    <w:next w:val="1"/>
    <w:link w:val="150"/>
    <w:semiHidden/>
    <w:unhideWhenUsed/>
    <w:qFormat/>
    <w:uiPriority w:val="9"/>
    <w:pPr>
      <w:keepNext/>
      <w:keepLines/>
      <w:spacing w:before="200" w:after="0"/>
      <w:outlineLvl w:val="3"/>
    </w:pPr>
    <w:rPr>
      <w:rFonts w:ascii="Arial" w:hAnsi="Arial" w:eastAsia="Arial" w:cs="Arial"/>
      <w:b/>
      <w:bCs/>
      <w:i/>
      <w:iCs/>
      <w:color w:val="000000"/>
      <w:sz w:val="24"/>
      <w:szCs w:val="24"/>
    </w:rPr>
  </w:style>
  <w:style w:type="paragraph" w:styleId="7">
    <w:name w:val="heading 5"/>
    <w:basedOn w:val="1"/>
    <w:next w:val="1"/>
    <w:link w:val="151"/>
    <w:semiHidden/>
    <w:unhideWhenUsed/>
    <w:qFormat/>
    <w:uiPriority w:val="9"/>
    <w:pPr>
      <w:keepNext/>
      <w:keepLines/>
      <w:spacing w:before="200" w:after="0"/>
      <w:outlineLvl w:val="4"/>
    </w:pPr>
    <w:rPr>
      <w:rFonts w:ascii="Arial" w:hAnsi="Arial" w:eastAsia="Arial" w:cs="Arial"/>
      <w:color w:val="000000"/>
      <w:sz w:val="24"/>
      <w:szCs w:val="24"/>
    </w:rPr>
  </w:style>
  <w:style w:type="paragraph" w:styleId="8">
    <w:name w:val="heading 6"/>
    <w:basedOn w:val="1"/>
    <w:next w:val="1"/>
    <w:link w:val="152"/>
    <w:semiHidden/>
    <w:unhideWhenUsed/>
    <w:qFormat/>
    <w:uiPriority w:val="9"/>
    <w:pPr>
      <w:keepNext/>
      <w:keepLines/>
      <w:spacing w:before="200" w:after="0"/>
      <w:outlineLvl w:val="5"/>
    </w:pPr>
    <w:rPr>
      <w:rFonts w:ascii="Arial" w:hAnsi="Arial" w:eastAsia="Arial" w:cs="Arial"/>
      <w:i/>
      <w:iCs/>
      <w:color w:val="000000"/>
      <w:sz w:val="24"/>
      <w:szCs w:val="24"/>
    </w:rPr>
  </w:style>
  <w:style w:type="paragraph" w:styleId="9">
    <w:name w:val="heading 7"/>
    <w:basedOn w:val="1"/>
    <w:next w:val="1"/>
    <w:link w:val="153"/>
    <w:semiHidden/>
    <w:unhideWhenUsed/>
    <w:qFormat/>
    <w:uiPriority w:val="9"/>
    <w:pPr>
      <w:keepNext/>
      <w:keepLines/>
      <w:spacing w:before="200" w:after="0"/>
      <w:outlineLvl w:val="6"/>
    </w:pPr>
    <w:rPr>
      <w:rFonts w:ascii="Arial" w:hAnsi="Arial" w:eastAsia="Arial" w:cs="Arial"/>
      <w:i/>
      <w:iCs/>
      <w:color w:val="000000"/>
      <w:sz w:val="24"/>
      <w:szCs w:val="24"/>
    </w:rPr>
  </w:style>
  <w:style w:type="paragraph" w:styleId="10">
    <w:name w:val="heading 8"/>
    <w:basedOn w:val="1"/>
    <w:next w:val="1"/>
    <w:link w:val="154"/>
    <w:semiHidden/>
    <w:unhideWhenUsed/>
    <w:qFormat/>
    <w:uiPriority w:val="9"/>
    <w:pPr>
      <w:keepNext/>
      <w:keepLines/>
      <w:spacing w:before="200" w:after="0"/>
      <w:outlineLvl w:val="7"/>
    </w:pPr>
    <w:rPr>
      <w:rFonts w:ascii="Arial" w:hAnsi="Arial" w:eastAsia="Arial" w:cs="Arial"/>
      <w:color w:val="000000"/>
      <w:sz w:val="24"/>
      <w:szCs w:val="24"/>
    </w:rPr>
  </w:style>
  <w:style w:type="paragraph" w:styleId="11">
    <w:name w:val="heading 9"/>
    <w:basedOn w:val="1"/>
    <w:next w:val="1"/>
    <w:link w:val="155"/>
    <w:semiHidden/>
    <w:unhideWhenUsed/>
    <w:qFormat/>
    <w:uiPriority w:val="9"/>
    <w:pPr>
      <w:keepNext/>
      <w:keepLines/>
      <w:spacing w:before="200" w:after="0"/>
      <w:outlineLvl w:val="8"/>
    </w:pPr>
    <w:rPr>
      <w:rFonts w:ascii="Arial" w:hAnsi="Arial" w:eastAsia="Arial" w:cs="Arial"/>
      <w:i/>
      <w:iCs/>
      <w:color w:val="000000"/>
      <w:sz w:val="24"/>
      <w:szCs w:val="24"/>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Arial" w:hAnsi="Arial" w:eastAsia="Arial" w:cs="Arial"/>
      <w:color w:val="000000"/>
      <w:sz w:val="24"/>
      <w:szCs w:val="24"/>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rFonts w:ascii="Arial" w:hAnsi="Arial" w:eastAsia="Arial" w:cs="Arial"/>
      <w:b/>
      <w:bCs/>
      <w:color w:val="000000"/>
      <w:sz w:val="24"/>
      <w:szCs w:val="24"/>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rFonts w:ascii="Arial" w:hAnsi="Arial" w:eastAsia="Arial" w:cs="Arial"/>
      <w:color w:val="000000"/>
      <w:sz w:val="24"/>
      <w:szCs w:val="24"/>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Arial" w:hAnsi="Arial" w:eastAsia="Arial" w:cs="Arial"/>
      <w:i/>
      <w:iCs/>
      <w:color w:val="000000"/>
      <w:spacing w:val="15"/>
      <w:sz w:val="24"/>
      <w:szCs w:val="24"/>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Arial" w:hAnsi="Arial" w:eastAsia="Arial" w:cs="Arial"/>
      <w:color w:val="000000"/>
      <w:spacing w:val="5"/>
      <w:kern w:val="28"/>
      <w:sz w:val="24"/>
      <w:szCs w:val="24"/>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rFonts w:ascii="Arial" w:hAnsi="Arial" w:eastAsia="Arial" w:cs="Arial"/>
      <w:color w:val="000000"/>
      <w:sz w:val="24"/>
      <w:szCs w:val="24"/>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rFonts w:ascii="Arial" w:hAnsi="Arial" w:eastAsia="Arial" w:cs="Arial"/>
      <w:color w:val="000000"/>
      <w:sz w:val="24"/>
      <w:szCs w:val="24"/>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rFonts w:ascii="Arial" w:hAnsi="Arial" w:eastAsia="Arial" w:cs="Arial"/>
      <w:color w:val="000000"/>
      <w:sz w:val="24"/>
      <w:szCs w:val="24"/>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rFonts w:ascii="Arial" w:hAnsi="Arial" w:eastAsia="Arial" w:cs="Arial"/>
      <w:color w:val="000000"/>
      <w:sz w:val="24"/>
      <w:szCs w:val="24"/>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rFonts w:ascii="Arial" w:hAnsi="Arial" w:eastAsia="Arial" w:cs="Arial"/>
      <w:color w:val="000000"/>
      <w:sz w:val="24"/>
      <w:szCs w:val="24"/>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rFonts w:ascii="Arial" w:hAnsi="Arial" w:eastAsia="Arial" w:cs="Arial"/>
      <w:color w:val="000000"/>
      <w:sz w:val="24"/>
      <w:szCs w:val="24"/>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rFonts w:ascii="Arial" w:hAnsi="Arial" w:eastAsia="Arial" w:cs="Arial"/>
      <w:color w:val="000000"/>
      <w:sz w:val="24"/>
      <w:szCs w:val="24"/>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rFonts w:ascii="Arial" w:hAnsi="Arial" w:eastAsia="Arial" w:cs="Arial"/>
      <w:color w:val="000000"/>
      <w:sz w:val="24"/>
      <w:szCs w:val="24"/>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rFonts w:ascii="Arial" w:hAnsi="Arial" w:eastAsia="Arial" w:cs="Arial"/>
      <w:color w:val="000000"/>
      <w:sz w:val="24"/>
      <w:szCs w:val="24"/>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rFonts w:ascii="Arial" w:hAnsi="Arial" w:eastAsia="Arial" w:cs="Arial"/>
      <w:color w:val="000000"/>
      <w:sz w:val="24"/>
      <w:szCs w:val="24"/>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rFonts w:ascii="Arial" w:hAnsi="Arial" w:eastAsia="Arial" w:cs="Arial"/>
      <w:color w:val="000000"/>
      <w:sz w:val="24"/>
      <w:szCs w:val="24"/>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rFonts w:ascii="Arial" w:hAnsi="Arial" w:eastAsia="Arial" w:cs="Arial"/>
      <w:color w:val="000000"/>
      <w:sz w:val="24"/>
      <w:szCs w:val="24"/>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rFonts w:ascii="Arial" w:hAnsi="Arial" w:eastAsia="Arial" w:cs="Arial"/>
      <w:color w:val="000000"/>
      <w:sz w:val="24"/>
      <w:szCs w:val="24"/>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rFonts w:ascii="Arial" w:hAnsi="Arial" w:eastAsia="Arial" w:cs="Arial"/>
      <w:color w:val="000000"/>
      <w:sz w:val="24"/>
      <w:szCs w:val="24"/>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Arial" w:hAnsi="Arial" w:eastAsia="Arial" w:cs="Arial"/>
      <w:color w:val="000000"/>
      <w:sz w:val="24"/>
      <w:szCs w:val="24"/>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Arial" w:hAnsi="Arial" w:eastAsia="Arial" w:cs="Arial"/>
      <w:color w:val="000000"/>
      <w:sz w:val="24"/>
      <w:szCs w:val="24"/>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Arial" w:hAnsi="Arial" w:eastAsia="Arial" w:cs="Arial"/>
      <w:color w:val="000000"/>
      <w:sz w:val="24"/>
      <w:szCs w:val="24"/>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Arial" w:hAnsi="Arial" w:eastAsia="Arial" w:cs="Arial"/>
      <w:color w:val="000000"/>
      <w:sz w:val="24"/>
      <w:szCs w:val="24"/>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Arial" w:hAnsi="Arial" w:eastAsia="Arial" w:cs="Arial"/>
      <w:color w:val="000000"/>
      <w:sz w:val="24"/>
      <w:szCs w:val="24"/>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Arial" w:hAnsi="Arial" w:eastAsia="Arial" w:cs="Arial"/>
      <w:color w:val="000000"/>
      <w:sz w:val="24"/>
      <w:szCs w:val="24"/>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Arial" w:hAnsi="Arial" w:eastAsia="Arial" w:cs="Arial"/>
      <w:color w:val="000000"/>
      <w:sz w:val="24"/>
      <w:szCs w:val="24"/>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Arial" w:hAnsi="Arial" w:eastAsia="Arial" w:cs="Arial"/>
      <w:color w:val="000000"/>
      <w:sz w:val="24"/>
      <w:szCs w:val="24"/>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Arial" w:hAnsi="Arial" w:eastAsia="Arial" w:cs="Arial"/>
      <w:color w:val="000000"/>
      <w:sz w:val="24"/>
      <w:szCs w:val="24"/>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Arial" w:hAnsi="Arial" w:eastAsia="Arial" w:cs="Arial"/>
      <w:color w:val="000000"/>
      <w:sz w:val="24"/>
      <w:szCs w:val="24"/>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Arial" w:hAnsi="Arial" w:eastAsia="Arial" w:cs="Arial"/>
      <w:color w:val="000000"/>
      <w:sz w:val="24"/>
      <w:szCs w:val="24"/>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Arial" w:hAnsi="Arial" w:eastAsia="Arial" w:cs="Arial"/>
      <w:color w:val="000000"/>
      <w:sz w:val="24"/>
      <w:szCs w:val="24"/>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Arial" w:hAnsi="Arial" w:eastAsia="Arial" w:cs="Arial"/>
      <w:color w:val="000000"/>
      <w:sz w:val="24"/>
      <w:szCs w:val="24"/>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Arial" w:hAnsi="Arial" w:eastAsia="Arial" w:cs="Arial"/>
      <w:color w:val="000000"/>
      <w:sz w:val="24"/>
      <w:szCs w:val="24"/>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rFonts w:ascii="Arial" w:hAnsi="Arial" w:eastAsia="Arial" w:cs="Arial"/>
      <w:color w:val="000000"/>
      <w:sz w:val="24"/>
      <w:szCs w:val="24"/>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rFonts w:ascii="Arial" w:hAnsi="Arial" w:eastAsia="Arial" w:cs="Arial"/>
      <w:color w:val="000000"/>
      <w:sz w:val="24"/>
      <w:szCs w:val="24"/>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rFonts w:ascii="Arial" w:hAnsi="Arial" w:eastAsia="Arial" w:cs="Arial"/>
      <w:color w:val="000000"/>
      <w:sz w:val="24"/>
      <w:szCs w:val="24"/>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rFonts w:ascii="Arial" w:hAnsi="Arial" w:eastAsia="Arial" w:cs="Arial"/>
      <w:color w:val="000000"/>
      <w:sz w:val="24"/>
      <w:szCs w:val="24"/>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rFonts w:ascii="Arial" w:hAnsi="Arial" w:eastAsia="Arial" w:cs="Arial"/>
      <w:color w:val="000000"/>
      <w:sz w:val="24"/>
      <w:szCs w:val="24"/>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rFonts w:ascii="Arial" w:hAnsi="Arial" w:eastAsia="Arial" w:cs="Arial"/>
      <w:color w:val="000000"/>
      <w:sz w:val="24"/>
      <w:szCs w:val="24"/>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rFonts w:ascii="Arial" w:hAnsi="Arial" w:eastAsia="Arial" w:cs="Arial"/>
      <w:color w:val="000000"/>
      <w:sz w:val="24"/>
      <w:szCs w:val="24"/>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rFonts w:ascii="Arial" w:hAnsi="Arial" w:eastAsia="Arial" w:cs="Arial"/>
      <w:b/>
      <w:bCs/>
      <w:color w:val="000000"/>
      <w:sz w:val="24"/>
      <w:szCs w:val="24"/>
    </w:rPr>
  </w:style>
  <w:style w:type="character" w:styleId="134">
    <w:name w:val="Emphasis"/>
    <w:basedOn w:val="132"/>
    <w:qFormat/>
    <w:uiPriority w:val="20"/>
    <w:rPr>
      <w:rFonts w:ascii="Arial" w:hAnsi="Arial" w:eastAsia="Arial" w:cs="Arial"/>
      <w:i/>
      <w:iCs/>
      <w:color w:val="000000"/>
      <w:sz w:val="24"/>
      <w:szCs w:val="24"/>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Arial" w:hAnsi="Arial" w:eastAsia="Arial" w:cs="Arial"/>
      <w:color w:val="000000"/>
      <w:sz w:val="24"/>
      <w:szCs w:val="24"/>
      <w:lang w:val="en-US" w:eastAsia="en-US" w:bidi="ar-SA"/>
    </w:rPr>
  </w:style>
  <w:style w:type="character" w:customStyle="1" w:styleId="138">
    <w:name w:val="Heading 1 Char"/>
    <w:basedOn w:val="132"/>
    <w:link w:val="3"/>
    <w:uiPriority w:val="9"/>
    <w:rPr>
      <w:rFonts w:ascii="Arial" w:hAnsi="Arial" w:eastAsia="Arial" w:cs="Arial"/>
      <w:b/>
      <w:bCs/>
      <w:color w:val="000000"/>
      <w:sz w:val="24"/>
      <w:szCs w:val="24"/>
    </w:rPr>
  </w:style>
  <w:style w:type="character" w:customStyle="1" w:styleId="139">
    <w:name w:val="Heading 2 Char"/>
    <w:basedOn w:val="132"/>
    <w:link w:val="4"/>
    <w:uiPriority w:val="9"/>
    <w:rPr>
      <w:rFonts w:ascii="Arial" w:hAnsi="Arial" w:eastAsia="Arial" w:cs="Arial"/>
      <w:b/>
      <w:bCs/>
      <w:color w:val="000000"/>
      <w:sz w:val="24"/>
      <w:szCs w:val="24"/>
    </w:rPr>
  </w:style>
  <w:style w:type="character" w:customStyle="1" w:styleId="140">
    <w:name w:val="Heading 3 Char"/>
    <w:basedOn w:val="132"/>
    <w:link w:val="5"/>
    <w:uiPriority w:val="9"/>
    <w:rPr>
      <w:rFonts w:ascii="Arial" w:hAnsi="Arial" w:eastAsia="Arial" w:cs="Arial"/>
      <w:b/>
      <w:bCs/>
      <w:color w:val="000000"/>
      <w:sz w:val="24"/>
      <w:szCs w:val="24"/>
    </w:rPr>
  </w:style>
  <w:style w:type="character" w:customStyle="1" w:styleId="141">
    <w:name w:val="Title Char"/>
    <w:basedOn w:val="132"/>
    <w:link w:val="31"/>
    <w:uiPriority w:val="10"/>
    <w:rPr>
      <w:rFonts w:ascii="Arial" w:hAnsi="Arial" w:eastAsia="Arial" w:cs="Arial"/>
      <w:color w:val="000000"/>
      <w:spacing w:val="5"/>
      <w:kern w:val="28"/>
      <w:sz w:val="24"/>
      <w:szCs w:val="24"/>
    </w:rPr>
  </w:style>
  <w:style w:type="character" w:customStyle="1" w:styleId="142">
    <w:name w:val="Subtitle Char"/>
    <w:basedOn w:val="132"/>
    <w:link w:val="26"/>
    <w:qFormat/>
    <w:uiPriority w:val="11"/>
    <w:rPr>
      <w:rFonts w:ascii="Arial" w:hAnsi="Arial" w:eastAsia="Arial" w:cs="Arial"/>
      <w:i/>
      <w:iCs/>
      <w:color w:val="000000"/>
      <w:spacing w:val="15"/>
      <w:sz w:val="24"/>
      <w:szCs w:val="24"/>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rFonts w:ascii="Arial" w:hAnsi="Arial" w:eastAsia="Arial" w:cs="Arial"/>
      <w:color w:val="000000"/>
      <w:sz w:val="24"/>
      <w:szCs w:val="24"/>
    </w:rPr>
  </w:style>
  <w:style w:type="character" w:customStyle="1" w:styleId="147">
    <w:name w:val="Macro Text Char"/>
    <w:basedOn w:val="132"/>
    <w:link w:val="2"/>
    <w:uiPriority w:val="99"/>
    <w:rPr>
      <w:rFonts w:ascii="Arial" w:hAnsi="Arial" w:eastAsia="Arial" w:cs="Arial"/>
      <w:color w:val="000000"/>
      <w:sz w:val="24"/>
      <w:szCs w:val="24"/>
    </w:rPr>
  </w:style>
  <w:style w:type="paragraph" w:styleId="148">
    <w:name w:val="Quote"/>
    <w:basedOn w:val="1"/>
    <w:next w:val="1"/>
    <w:link w:val="149"/>
    <w:qFormat/>
    <w:uiPriority w:val="29"/>
    <w:rPr>
      <w:rFonts w:ascii="Arial" w:hAnsi="Arial" w:eastAsia="Arial" w:cs="Arial"/>
      <w:i/>
      <w:iCs/>
      <w:color w:val="000000"/>
      <w:sz w:val="24"/>
      <w:szCs w:val="24"/>
    </w:rPr>
  </w:style>
  <w:style w:type="character" w:customStyle="1" w:styleId="149">
    <w:name w:val="Quote Char"/>
    <w:basedOn w:val="132"/>
    <w:link w:val="148"/>
    <w:uiPriority w:val="29"/>
    <w:rPr>
      <w:rFonts w:ascii="Arial" w:hAnsi="Arial" w:eastAsia="Arial" w:cs="Arial"/>
      <w:i/>
      <w:iCs/>
      <w:color w:val="000000"/>
      <w:sz w:val="24"/>
      <w:szCs w:val="24"/>
    </w:rPr>
  </w:style>
  <w:style w:type="character" w:customStyle="1" w:styleId="150">
    <w:name w:val="Heading 4 Char"/>
    <w:basedOn w:val="132"/>
    <w:link w:val="6"/>
    <w:semiHidden/>
    <w:uiPriority w:val="9"/>
    <w:rPr>
      <w:rFonts w:ascii="Arial" w:hAnsi="Arial" w:eastAsia="Arial" w:cs="Arial"/>
      <w:b/>
      <w:bCs/>
      <w:i/>
      <w:iCs/>
      <w:color w:val="000000"/>
      <w:sz w:val="24"/>
      <w:szCs w:val="24"/>
    </w:rPr>
  </w:style>
  <w:style w:type="character" w:customStyle="1" w:styleId="151">
    <w:name w:val="Heading 5 Char"/>
    <w:basedOn w:val="132"/>
    <w:link w:val="7"/>
    <w:semiHidden/>
    <w:uiPriority w:val="9"/>
    <w:rPr>
      <w:rFonts w:ascii="Arial" w:hAnsi="Arial" w:eastAsia="Arial" w:cs="Arial"/>
      <w:color w:val="000000"/>
      <w:sz w:val="24"/>
      <w:szCs w:val="24"/>
    </w:rPr>
  </w:style>
  <w:style w:type="character" w:customStyle="1" w:styleId="152">
    <w:name w:val="Heading 6 Char"/>
    <w:basedOn w:val="132"/>
    <w:link w:val="8"/>
    <w:semiHidden/>
    <w:uiPriority w:val="9"/>
    <w:rPr>
      <w:rFonts w:ascii="Arial" w:hAnsi="Arial" w:eastAsia="Arial" w:cs="Arial"/>
      <w:i/>
      <w:iCs/>
      <w:color w:val="000000"/>
      <w:sz w:val="24"/>
      <w:szCs w:val="24"/>
    </w:rPr>
  </w:style>
  <w:style w:type="character" w:customStyle="1" w:styleId="153">
    <w:name w:val="Heading 7 Char"/>
    <w:basedOn w:val="132"/>
    <w:link w:val="9"/>
    <w:semiHidden/>
    <w:uiPriority w:val="9"/>
    <w:rPr>
      <w:rFonts w:ascii="Arial" w:hAnsi="Arial" w:eastAsia="Arial" w:cs="Arial"/>
      <w:i/>
      <w:iCs/>
      <w:color w:val="000000"/>
      <w:sz w:val="24"/>
      <w:szCs w:val="24"/>
    </w:rPr>
  </w:style>
  <w:style w:type="character" w:customStyle="1" w:styleId="154">
    <w:name w:val="Heading 8 Char"/>
    <w:basedOn w:val="132"/>
    <w:link w:val="10"/>
    <w:semiHidden/>
    <w:uiPriority w:val="9"/>
    <w:rPr>
      <w:rFonts w:ascii="Arial" w:hAnsi="Arial" w:eastAsia="Arial" w:cs="Arial"/>
      <w:color w:val="000000"/>
      <w:sz w:val="24"/>
      <w:szCs w:val="24"/>
    </w:rPr>
  </w:style>
  <w:style w:type="character" w:customStyle="1" w:styleId="155">
    <w:name w:val="Heading 9 Char"/>
    <w:basedOn w:val="132"/>
    <w:link w:val="11"/>
    <w:semiHidden/>
    <w:qFormat/>
    <w:uiPriority w:val="9"/>
    <w:rPr>
      <w:rFonts w:ascii="Arial" w:hAnsi="Arial" w:eastAsia="Arial" w:cs="Arial"/>
      <w:i/>
      <w:iCs/>
      <w:color w:val="000000"/>
      <w:sz w:val="24"/>
      <w:szCs w:val="24"/>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rFonts w:ascii="Arial" w:hAnsi="Arial" w:eastAsia="Arial" w:cs="Arial"/>
      <w:b/>
      <w:bCs/>
      <w:i/>
      <w:iCs/>
      <w:color w:val="000000"/>
      <w:sz w:val="24"/>
      <w:szCs w:val="24"/>
    </w:rPr>
  </w:style>
  <w:style w:type="character" w:customStyle="1" w:styleId="157">
    <w:name w:val="Intense Quote Char"/>
    <w:basedOn w:val="132"/>
    <w:link w:val="156"/>
    <w:qFormat/>
    <w:uiPriority w:val="30"/>
    <w:rPr>
      <w:rFonts w:ascii="Arial" w:hAnsi="Arial" w:eastAsia="Arial" w:cs="Arial"/>
      <w:b/>
      <w:bCs/>
      <w:i/>
      <w:iCs/>
      <w:color w:val="000000"/>
      <w:sz w:val="24"/>
      <w:szCs w:val="24"/>
    </w:rPr>
  </w:style>
  <w:style w:type="character" w:customStyle="1" w:styleId="158">
    <w:name w:val="Subtle Emphasis"/>
    <w:basedOn w:val="132"/>
    <w:qFormat/>
    <w:uiPriority w:val="19"/>
    <w:rPr>
      <w:rFonts w:ascii="Arial" w:hAnsi="Arial" w:eastAsia="Arial" w:cs="Arial"/>
      <w:i/>
      <w:iCs/>
      <w:color w:val="000000"/>
      <w:sz w:val="24"/>
      <w:szCs w:val="24"/>
    </w:rPr>
  </w:style>
  <w:style w:type="character" w:customStyle="1" w:styleId="159">
    <w:name w:val="Intense Emphasis"/>
    <w:basedOn w:val="132"/>
    <w:qFormat/>
    <w:uiPriority w:val="21"/>
    <w:rPr>
      <w:rFonts w:ascii="Arial" w:hAnsi="Arial" w:eastAsia="Arial" w:cs="Arial"/>
      <w:b/>
      <w:bCs/>
      <w:i/>
      <w:iCs/>
      <w:color w:val="000000"/>
      <w:sz w:val="24"/>
      <w:szCs w:val="24"/>
    </w:rPr>
  </w:style>
  <w:style w:type="character" w:customStyle="1" w:styleId="160">
    <w:name w:val="Subtle Reference"/>
    <w:basedOn w:val="132"/>
    <w:qFormat/>
    <w:uiPriority w:val="31"/>
    <w:rPr>
      <w:rFonts w:ascii="Arial" w:hAnsi="Arial" w:eastAsia="Arial" w:cs="Arial"/>
      <w:smallCaps/>
      <w:color w:val="000000"/>
      <w:sz w:val="24"/>
      <w:szCs w:val="24"/>
      <w:u w:val="single"/>
    </w:rPr>
  </w:style>
  <w:style w:type="character" w:customStyle="1" w:styleId="161">
    <w:name w:val="Intense Reference"/>
    <w:basedOn w:val="132"/>
    <w:qFormat/>
    <w:uiPriority w:val="32"/>
    <w:rPr>
      <w:rFonts w:ascii="Arial" w:hAnsi="Arial" w:eastAsia="Arial" w:cs="Arial"/>
      <w:b/>
      <w:bCs/>
      <w:smallCaps/>
      <w:color w:val="000000"/>
      <w:spacing w:val="5"/>
      <w:sz w:val="24"/>
      <w:szCs w:val="24"/>
      <w:u w:val="single"/>
    </w:rPr>
  </w:style>
  <w:style w:type="character" w:customStyle="1" w:styleId="162">
    <w:name w:val="Book Title"/>
    <w:basedOn w:val="132"/>
    <w:qFormat/>
    <w:uiPriority w:val="33"/>
    <w:rPr>
      <w:rFonts w:ascii="Arial" w:hAnsi="Arial" w:eastAsia="Arial" w:cs="Arial"/>
      <w:b/>
      <w:bCs/>
      <w:smallCaps/>
      <w:color w:val="000000"/>
      <w:spacing w:val="5"/>
      <w:sz w:val="24"/>
      <w:szCs w:val="24"/>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614</Words>
  <Characters>3250</Characters>
  <Lines>0</Lines>
  <Paragraphs>0</Paragraphs>
  <TotalTime>0</TotalTime>
  <ScaleCrop>false</ScaleCrop>
  <LinksUpToDate>false</LinksUpToDate>
  <CharactersWithSpaces>3730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WPS_1695207348</cp:lastModifiedBy>
  <dcterms:created xsi:type="dcterms:W3CDTF">2013-12-23T23:15:00Z</dcterms:created>
  <dcterms:modified xsi:type="dcterms:W3CDTF">2026-09-07T14:09:47Z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eyJoZGlkIjoiMWMzOTVlMGM3YmYzMzQzZTFjMDE5ZDM4YTgyOGI4YmMiLCJ1c2VySWQiOiIxNTMzNjY5Mzk2In0=</vt:lpwstr>
  </property>
  <property fmtid="{D5CDD505-2E9C-101B-9397-08002B2CF9AE}" pid="3" name="KSOProductBuildVer">
    <vt:lpwstr>2052-12.1.0.28505</vt:lpwstr>
  </property>
  <property fmtid="{D5CDD505-2E9C-101B-9397-08002B2CF9AE}" pid="4" name="ICV">
    <vt:lpwstr>69FF92C0902E4EB190D8ECAA147B0ED9_12</vt:lpwstr>
  </property>
</Properties>
</file>