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6D457" w14:textId="77777777" w:rsidR="00A529EE" w:rsidRDefault="00000000">
      <w:pPr>
        <w:pStyle w:val="FirstParagraph"/>
      </w:pPr>
      <w:r>
        <w:rPr>
          <w:b/>
        </w:rPr>
        <w:t>Supplementary Materials</w:t>
      </w:r>
    </w:p>
    <w:p w14:paraId="73BCC799" w14:textId="77777777" w:rsidR="003B644C" w:rsidRPr="008E7F20" w:rsidRDefault="003B644C" w:rsidP="003B644C">
      <w:pPr>
        <w:pStyle w:val="FirstParagraph"/>
        <w:rPr>
          <w:color w:val="000000" w:themeColor="text1"/>
        </w:rPr>
      </w:pPr>
      <w:r w:rsidRPr="008E7F20">
        <w:rPr>
          <w:b/>
          <w:color w:val="000000" w:themeColor="text1"/>
        </w:rPr>
        <w:t>Age-Standardized Disability-Adjusted Life Years (DALYs) of Colorectal Cancer in Brunei Darussalam, 2002–2020: A Population-Based Burden-of-Disease Study</w:t>
      </w:r>
    </w:p>
    <w:p w14:paraId="2C42290D" w14:textId="4C7CD949" w:rsidR="003B644C" w:rsidRPr="006A440B" w:rsidRDefault="003B644C" w:rsidP="003B644C">
      <w:pPr>
        <w:pStyle w:val="BodyText"/>
        <w:rPr>
          <w:color w:val="000000" w:themeColor="text1"/>
        </w:rPr>
      </w:pPr>
      <w:r w:rsidRPr="008E7F20">
        <w:rPr>
          <w:b/>
          <w:i/>
          <w:color w:val="000000" w:themeColor="text1"/>
        </w:rPr>
        <w:t xml:space="preserve">Ummi </w:t>
      </w:r>
      <w:r>
        <w:rPr>
          <w:b/>
          <w:i/>
          <w:color w:val="000000" w:themeColor="text1"/>
        </w:rPr>
        <w:t xml:space="preserve">Salwa </w:t>
      </w:r>
      <w:r w:rsidRPr="008E7F20">
        <w:rPr>
          <w:b/>
          <w:i/>
          <w:color w:val="000000" w:themeColor="text1"/>
        </w:rPr>
        <w:t>Suhaimei</w:t>
      </w:r>
      <w:r w:rsidRPr="008E7F20">
        <w:rPr>
          <w:b/>
          <w:i/>
          <w:color w:val="000000" w:themeColor="text1"/>
          <w:vertAlign w:val="superscript"/>
        </w:rPr>
        <w:t>1*</w:t>
      </w:r>
      <w:r w:rsidRPr="008E7F20">
        <w:rPr>
          <w:b/>
          <w:i/>
          <w:color w:val="000000" w:themeColor="text1"/>
        </w:rPr>
        <w:t>, Hein Minn Tun</w:t>
      </w:r>
      <w:r w:rsidRPr="008E7F20">
        <w:rPr>
          <w:b/>
          <w:i/>
          <w:color w:val="000000" w:themeColor="text1"/>
          <w:vertAlign w:val="superscript"/>
        </w:rPr>
        <w:t>1</w:t>
      </w:r>
      <w:r>
        <w:rPr>
          <w:b/>
          <w:i/>
          <w:color w:val="000000" w:themeColor="text1"/>
          <w:vertAlign w:val="superscript"/>
        </w:rPr>
        <w:t>,2</w:t>
      </w:r>
      <w:r w:rsidRPr="008E7F20">
        <w:rPr>
          <w:b/>
          <w:i/>
          <w:color w:val="000000" w:themeColor="text1"/>
        </w:rPr>
        <w:t>, Elvynna Leong</w:t>
      </w:r>
      <w:r>
        <w:rPr>
          <w:b/>
          <w:i/>
          <w:color w:val="000000" w:themeColor="text1"/>
          <w:vertAlign w:val="superscript"/>
        </w:rPr>
        <w:t>3</w:t>
      </w:r>
      <w:r w:rsidRPr="008E7F20">
        <w:rPr>
          <w:b/>
          <w:i/>
          <w:color w:val="000000" w:themeColor="text1"/>
        </w:rPr>
        <w:t>, Sok King</w:t>
      </w:r>
      <w:r w:rsidR="007023D0">
        <w:rPr>
          <w:b/>
          <w:i/>
          <w:color w:val="000000" w:themeColor="text1"/>
        </w:rPr>
        <w:t xml:space="preserve"> Ong</w:t>
      </w:r>
      <w:r w:rsidRPr="008E7F20">
        <w:rPr>
          <w:b/>
          <w:i/>
          <w:color w:val="000000" w:themeColor="text1"/>
          <w:vertAlign w:val="superscript"/>
        </w:rPr>
        <w:t>1,</w:t>
      </w:r>
      <w:r>
        <w:rPr>
          <w:b/>
          <w:i/>
          <w:color w:val="000000" w:themeColor="text1"/>
          <w:vertAlign w:val="superscript"/>
        </w:rPr>
        <w:t>4</w:t>
      </w:r>
      <w:r w:rsidRPr="008E7F20">
        <w:rPr>
          <w:b/>
          <w:i/>
          <w:color w:val="000000" w:themeColor="text1"/>
        </w:rPr>
        <w:t>, Hanif Abdul Rahman</w:t>
      </w:r>
      <w:r w:rsidRPr="008E7F20">
        <w:rPr>
          <w:b/>
          <w:i/>
          <w:color w:val="000000" w:themeColor="text1"/>
          <w:vertAlign w:val="superscript"/>
        </w:rPr>
        <w:t>1</w:t>
      </w:r>
      <w:r w:rsidR="006A440B">
        <w:rPr>
          <w:b/>
          <w:i/>
          <w:color w:val="000000" w:themeColor="text1"/>
        </w:rPr>
        <w:t xml:space="preserve">, </w:t>
      </w:r>
      <w:r w:rsidR="006A440B" w:rsidRPr="008E7F20">
        <w:rPr>
          <w:b/>
          <w:i/>
          <w:color w:val="000000" w:themeColor="text1"/>
        </w:rPr>
        <w:t>Lin Naing</w:t>
      </w:r>
      <w:r w:rsidR="006A440B" w:rsidRPr="008E7F20">
        <w:rPr>
          <w:b/>
          <w:i/>
          <w:color w:val="000000" w:themeColor="text1"/>
          <w:vertAlign w:val="superscript"/>
        </w:rPr>
        <w:t>1</w:t>
      </w:r>
    </w:p>
    <w:p w14:paraId="012DA3EE" w14:textId="77777777" w:rsidR="003B644C" w:rsidRPr="00B27012" w:rsidRDefault="003B644C" w:rsidP="003B644C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E7F20">
        <w:rPr>
          <w:i/>
          <w:color w:val="000000" w:themeColor="text1"/>
        </w:rPr>
        <w:t>PAPRSB Institute of Health Sciences, Universiti Brunei Darussalam, Bandar Seri Begawan, Brunei Darussalam</w:t>
      </w:r>
    </w:p>
    <w:p w14:paraId="4EF68A85" w14:textId="77777777" w:rsidR="003B644C" w:rsidRPr="00B27012" w:rsidRDefault="003B644C" w:rsidP="003B644C">
      <w:pPr>
        <w:pStyle w:val="Compact"/>
        <w:numPr>
          <w:ilvl w:val="0"/>
          <w:numId w:val="2"/>
        </w:numPr>
        <w:rPr>
          <w:color w:val="000000" w:themeColor="text1"/>
        </w:rPr>
      </w:pPr>
      <w:r>
        <w:rPr>
          <w:i/>
          <w:color w:val="000000" w:themeColor="text1"/>
        </w:rPr>
        <w:t xml:space="preserve">School of Digital Sciences, </w:t>
      </w:r>
      <w:r w:rsidRPr="008E7F20">
        <w:rPr>
          <w:i/>
          <w:color w:val="000000" w:themeColor="text1"/>
        </w:rPr>
        <w:t>Universiti Brunei Darussalam, Bandar Seri Begawan, Brunei Darussalam</w:t>
      </w:r>
    </w:p>
    <w:p w14:paraId="632CFED6" w14:textId="77777777" w:rsidR="003B644C" w:rsidRPr="008E7F20" w:rsidRDefault="003B644C" w:rsidP="003B644C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E7F20">
        <w:rPr>
          <w:i/>
          <w:color w:val="000000" w:themeColor="text1"/>
        </w:rPr>
        <w:t>Faculty of Science, Universiti Brunei Darussalam, Bandar Seri Begawan, Brunei Darussalam</w:t>
      </w:r>
    </w:p>
    <w:p w14:paraId="503939F9" w14:textId="77777777" w:rsidR="003B644C" w:rsidRPr="008E7F20" w:rsidRDefault="003B644C" w:rsidP="003B644C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E7F20">
        <w:rPr>
          <w:i/>
          <w:color w:val="000000" w:themeColor="text1"/>
        </w:rPr>
        <w:t>Department of Policy and Planning, Ministry of Health, Bandar Seri Begawan, Brunei Darussalam</w:t>
      </w:r>
    </w:p>
    <w:p w14:paraId="3E71E451" w14:textId="77777777" w:rsidR="003B644C" w:rsidRPr="003B644C" w:rsidRDefault="003B644C" w:rsidP="003B644C">
      <w:pPr>
        <w:pStyle w:val="FirstParagraph"/>
        <w:rPr>
          <w:color w:val="000000" w:themeColor="text1"/>
        </w:rPr>
      </w:pPr>
      <w:r w:rsidRPr="008E7F20">
        <w:rPr>
          <w:i/>
          <w:color w:val="000000" w:themeColor="text1"/>
        </w:rPr>
        <w:t xml:space="preserve">Corresponding author: Ummi </w:t>
      </w:r>
      <w:r>
        <w:rPr>
          <w:i/>
          <w:color w:val="000000" w:themeColor="text1"/>
        </w:rPr>
        <w:t xml:space="preserve">Salwa </w:t>
      </w:r>
      <w:r w:rsidRPr="008E7F20">
        <w:rPr>
          <w:i/>
          <w:color w:val="000000" w:themeColor="text1"/>
        </w:rPr>
        <w:t>Suhaimei, 23h1801@ubd.edu.bn, PAPRSB Institute of Health Sciences, Universiti Brunei Darussalam, Jalan Tungku Link, Bandar Seri Begawan, Brunei Darussalam</w:t>
      </w:r>
    </w:p>
    <w:p w14:paraId="3250CF9E" w14:textId="77777777" w:rsidR="00A529EE" w:rsidRDefault="00EC4AE9">
      <w:r>
        <w:pict w14:anchorId="05DAA954">
          <v:rect id="Horizontal Line 1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139B238" w14:textId="77777777" w:rsidR="00A529EE" w:rsidRDefault="00000000">
      <w:pPr>
        <w:pStyle w:val="FirstParagraph"/>
      </w:pPr>
      <w:r>
        <w:rPr>
          <w:b/>
        </w:rPr>
        <w:t>Supplementary Table S1.</w:t>
      </w:r>
      <w:r>
        <w:t xml:space="preserve"> One-way sensitivity analysis of total DALYs to disability-weighting method and phase-duration assumptions, colorectal cancer, Brunei Darussalam, 2002–2020.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210"/>
        <w:gridCol w:w="1301"/>
        <w:gridCol w:w="1861"/>
        <w:gridCol w:w="988"/>
      </w:tblGrid>
      <w:tr w:rsidR="00A529EE" w14:paraId="144A347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76F5AB" w14:textId="77777777" w:rsidR="00A529EE" w:rsidRDefault="00000000">
            <w:pPr>
              <w:pStyle w:val="Compact"/>
            </w:pPr>
            <w:r>
              <w:t>Scenario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7BB8D77" w14:textId="77777777" w:rsidR="00A529EE" w:rsidRDefault="00000000">
            <w:pPr>
              <w:pStyle w:val="Compact"/>
            </w:pPr>
            <w:r>
              <w:t>Total DALYs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2F0118" w14:textId="77777777" w:rsidR="00A529EE" w:rsidRDefault="00000000">
            <w:pPr>
              <w:pStyle w:val="Compact"/>
            </w:pPr>
            <w:r>
              <w:t>Change vs. base case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349E105" w14:textId="77777777" w:rsidR="00A529EE" w:rsidRDefault="00000000">
            <w:pPr>
              <w:pStyle w:val="Compact"/>
            </w:pPr>
            <w:r>
              <w:t>YLD (%)</w:t>
            </w:r>
          </w:p>
        </w:tc>
      </w:tr>
      <w:tr w:rsidR="00A529EE" w14:paraId="4420CB17" w14:textId="77777777">
        <w:tc>
          <w:tcPr>
            <w:tcW w:w="0" w:type="auto"/>
          </w:tcPr>
          <w:p w14:paraId="7DCC77AC" w14:textId="77777777" w:rsidR="009D5876" w:rsidRDefault="00000000">
            <w:r>
              <w:t>Base case: stage/phase-specific DW, 6-month phases, fixed 31-Dec-2021 censoring</w:t>
            </w:r>
          </w:p>
        </w:tc>
        <w:tc>
          <w:tcPr>
            <w:tcW w:w="0" w:type="auto"/>
          </w:tcPr>
          <w:p w14:paraId="281800A4" w14:textId="77777777" w:rsidR="009D5876" w:rsidRDefault="00000000">
            <w:r>
              <w:t>17,234.3</w:t>
            </w:r>
          </w:p>
        </w:tc>
        <w:tc>
          <w:tcPr>
            <w:tcW w:w="0" w:type="auto"/>
          </w:tcPr>
          <w:p w14:paraId="3BDD507F" w14:textId="77777777" w:rsidR="009D5876" w:rsidRDefault="00000000">
            <w:r>
              <w:t>0% (reference)</w:t>
            </w:r>
          </w:p>
        </w:tc>
        <w:tc>
          <w:tcPr>
            <w:tcW w:w="0" w:type="auto"/>
          </w:tcPr>
          <w:p w14:paraId="3465E577" w14:textId="77777777" w:rsidR="009D5876" w:rsidRDefault="00000000">
            <w:r>
              <w:t>4.9%</w:t>
            </w:r>
          </w:p>
        </w:tc>
      </w:tr>
      <w:tr w:rsidR="00A529EE" w14:paraId="42BB6FDE" w14:textId="77777777">
        <w:tc>
          <w:tcPr>
            <w:tcW w:w="0" w:type="auto"/>
          </w:tcPr>
          <w:p w14:paraId="391C086C" w14:textId="77777777" w:rsidR="009D5876" w:rsidRDefault="00000000">
            <w:r>
              <w:t>Phase duration: 3 months</w:t>
            </w:r>
          </w:p>
        </w:tc>
        <w:tc>
          <w:tcPr>
            <w:tcW w:w="0" w:type="auto"/>
          </w:tcPr>
          <w:p w14:paraId="037BF3A0" w14:textId="77777777" w:rsidR="009D5876" w:rsidRDefault="00000000">
            <w:r>
              <w:t>17,162.7</w:t>
            </w:r>
          </w:p>
        </w:tc>
        <w:tc>
          <w:tcPr>
            <w:tcW w:w="0" w:type="auto"/>
          </w:tcPr>
          <w:p w14:paraId="453DF32D" w14:textId="77777777" w:rsidR="009D5876" w:rsidRDefault="00000000">
            <w:r>
              <w:t>-0.4%</w:t>
            </w:r>
          </w:p>
        </w:tc>
        <w:tc>
          <w:tcPr>
            <w:tcW w:w="0" w:type="auto"/>
          </w:tcPr>
          <w:p w14:paraId="74A6EC12" w14:textId="77777777" w:rsidR="009D5876" w:rsidRDefault="00000000">
            <w:r>
              <w:t>4.5%</w:t>
            </w:r>
          </w:p>
        </w:tc>
      </w:tr>
      <w:tr w:rsidR="00A529EE" w14:paraId="0B56EE81" w14:textId="77777777">
        <w:tc>
          <w:tcPr>
            <w:tcW w:w="0" w:type="auto"/>
          </w:tcPr>
          <w:p w14:paraId="2BBF5EC2" w14:textId="77777777" w:rsidR="009D5876" w:rsidRDefault="00000000">
            <w:r>
              <w:t>Phase duration: 12 months</w:t>
            </w:r>
          </w:p>
        </w:tc>
        <w:tc>
          <w:tcPr>
            <w:tcW w:w="0" w:type="auto"/>
          </w:tcPr>
          <w:p w14:paraId="67A2FA69" w14:textId="77777777" w:rsidR="009D5876" w:rsidRDefault="00000000">
            <w:r>
              <w:t>17,351.9</w:t>
            </w:r>
          </w:p>
        </w:tc>
        <w:tc>
          <w:tcPr>
            <w:tcW w:w="0" w:type="auto"/>
          </w:tcPr>
          <w:p w14:paraId="726D885A" w14:textId="77777777" w:rsidR="009D5876" w:rsidRDefault="00000000">
            <w:r>
              <w:t>+0.7%</w:t>
            </w:r>
          </w:p>
        </w:tc>
        <w:tc>
          <w:tcPr>
            <w:tcW w:w="0" w:type="auto"/>
          </w:tcPr>
          <w:p w14:paraId="6F14C859" w14:textId="77777777" w:rsidR="009D5876" w:rsidRDefault="00000000">
            <w:r>
              <w:t>5.5%</w:t>
            </w:r>
          </w:p>
        </w:tc>
      </w:tr>
      <w:tr w:rsidR="00A529EE" w14:paraId="0B151F3B" w14:textId="77777777">
        <w:tc>
          <w:tcPr>
            <w:tcW w:w="0" w:type="auto"/>
          </w:tcPr>
          <w:p w14:paraId="21087B32" w14:textId="77777777" w:rsidR="009D5876" w:rsidRDefault="00000000">
            <w:r>
              <w:t>Generic flat DW (0.288), fixed 31-Dec-2021 censoring</w:t>
            </w:r>
          </w:p>
        </w:tc>
        <w:tc>
          <w:tcPr>
            <w:tcW w:w="0" w:type="auto"/>
          </w:tcPr>
          <w:p w14:paraId="5D6AE6B5" w14:textId="77777777" w:rsidR="009D5876" w:rsidRDefault="00000000">
            <w:r>
              <w:t>18,246.7</w:t>
            </w:r>
          </w:p>
        </w:tc>
        <w:tc>
          <w:tcPr>
            <w:tcW w:w="0" w:type="auto"/>
          </w:tcPr>
          <w:p w14:paraId="69219AC6" w14:textId="77777777" w:rsidR="009D5876" w:rsidRDefault="00000000">
            <w:r>
              <w:t>+5.9%</w:t>
            </w:r>
          </w:p>
        </w:tc>
        <w:tc>
          <w:tcPr>
            <w:tcW w:w="0" w:type="auto"/>
          </w:tcPr>
          <w:p w14:paraId="493B82C8" w14:textId="77777777" w:rsidR="009D5876" w:rsidRDefault="00000000">
            <w:r>
              <w:t>10.1%</w:t>
            </w:r>
          </w:p>
        </w:tc>
      </w:tr>
    </w:tbl>
    <w:p w14:paraId="445BD57A" w14:textId="77777777" w:rsidR="00A529EE" w:rsidRDefault="00000000">
      <w:pPr>
        <w:pStyle w:val="BodyText"/>
      </w:pPr>
      <w:r>
        <w:rPr>
          <w:i/>
        </w:rPr>
        <w:t>DW = disability weight. The floating-censoring scenario uses the current system date rather than a fixed follow-up cutoff for still-living patients and is included only to show the magnitude of this data-handling issue; it is not a valid basis for reporting and is not reproducible.</w:t>
      </w:r>
    </w:p>
    <w:p w14:paraId="12198842" w14:textId="77777777" w:rsidR="00A529EE" w:rsidRDefault="00000000">
      <w:pPr>
        <w:pStyle w:val="BodyText"/>
      </w:pPr>
      <w:r>
        <w:t>Referenced in the main text at: Methods §2.4 (Sensitivity Analysis), Discussion §4.1 (Burden Relative to Global and Regional Estimates), and the Conclusions.</w:t>
      </w:r>
    </w:p>
    <w:p w14:paraId="788D04C5" w14:textId="77777777" w:rsidR="009D5876" w:rsidRDefault="00000000">
      <w:r>
        <w:br w:type="page"/>
      </w:r>
    </w:p>
    <w:p w14:paraId="54FCEDA1" w14:textId="77777777" w:rsidR="009D5876" w:rsidRDefault="00000000">
      <w:r>
        <w:rPr>
          <w:noProof/>
        </w:rPr>
        <w:lastRenderedPageBreak/>
        <w:drawing>
          <wp:inline distT="0" distB="0" distL="0" distR="0" wp14:anchorId="2791F83E" wp14:editId="25ED1F98">
            <wp:extent cx="5330952" cy="36650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_extracted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0952" cy="366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52145" w14:textId="77777777" w:rsidR="009D5876" w:rsidRDefault="00000000">
      <w:r w:rsidRPr="003B644C">
        <w:rPr>
          <w:b/>
          <w:bCs/>
        </w:rPr>
        <w:t>Supplementary Fig. S1.</w:t>
      </w:r>
      <w:r>
        <w:t xml:space="preserve"> Age-specific DALY rates (per 100,000 population per year) for colorectal cancer by age group, with overall age-standardized DALY rate (285.5 per 100,000 per year), Brunei Darussalam, 2002–2020. Relocated from the main text (formerly Fig. 3 in Section 3.6) as part of merging Section 3.6 (Burden by Age Group) into Section 3.4 (Burden by Age Group and Age at Onset).</w:t>
      </w:r>
    </w:p>
    <w:p w14:paraId="3F49F722" w14:textId="77777777" w:rsidR="009D5876" w:rsidRDefault="00000000">
      <w:r>
        <w:t>Referenced in the main text at: Results §3.4 (Burden by Age Group and Age at Onset).</w:t>
      </w:r>
    </w:p>
    <w:p w14:paraId="139AAD7E" w14:textId="77777777" w:rsidR="00531C56" w:rsidRDefault="00531C56"/>
    <w:p w14:paraId="2FFE81F5" w14:textId="77777777" w:rsidR="00531C56" w:rsidRDefault="00000000">
      <w:pPr>
        <w:pStyle w:val="FirstParagraph"/>
      </w:pPr>
      <w:r w:rsidRPr="00341673">
        <w:rPr>
          <w:b/>
          <w:bCs/>
        </w:rPr>
        <w:t>Supplementary Table S2.</w:t>
      </w:r>
      <w:r>
        <w:t xml:space="preserve"> Statistical comparison of DALY burden metrics between early-onset (&lt;50 years) and common-onset (≥50 years) colorectal cancer, Brunei Darussalam, 2002–2020.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1748"/>
        <w:gridCol w:w="1534"/>
        <w:gridCol w:w="1548"/>
        <w:gridCol w:w="1510"/>
        <w:gridCol w:w="1527"/>
        <w:gridCol w:w="1493"/>
      </w:tblGrid>
      <w:tr w:rsidR="00531C56" w14:paraId="4AEF9F6F" w14:textId="77777777">
        <w:tc>
          <w:tcPr>
            <w:tcW w:w="1560" w:type="dxa"/>
          </w:tcPr>
          <w:p w14:paraId="51CC5CE9" w14:textId="77777777" w:rsidR="00531C56" w:rsidRDefault="00000000">
            <w:r>
              <w:t>Metric</w:t>
            </w:r>
          </w:p>
        </w:tc>
        <w:tc>
          <w:tcPr>
            <w:tcW w:w="1560" w:type="dxa"/>
          </w:tcPr>
          <w:p w14:paraId="2815265F" w14:textId="77777777" w:rsidR="00531C56" w:rsidRDefault="00000000">
            <w:r>
              <w:t>Early-onset</w:t>
            </w:r>
            <w:r>
              <w:br/>
              <w:t>(n=295)</w:t>
            </w:r>
          </w:p>
        </w:tc>
        <w:tc>
          <w:tcPr>
            <w:tcW w:w="1560" w:type="dxa"/>
          </w:tcPr>
          <w:p w14:paraId="4E6DC82D" w14:textId="77777777" w:rsidR="00531C56" w:rsidRDefault="00000000">
            <w:r>
              <w:t>Common-onset</w:t>
            </w:r>
            <w:r>
              <w:br/>
              <w:t>(n=1078)</w:t>
            </w:r>
          </w:p>
        </w:tc>
        <w:tc>
          <w:tcPr>
            <w:tcW w:w="1560" w:type="dxa"/>
          </w:tcPr>
          <w:p w14:paraId="64A552FE" w14:textId="77777777" w:rsidR="00531C56" w:rsidRDefault="00000000">
            <w:r>
              <w:t>Test</w:t>
            </w:r>
          </w:p>
        </w:tc>
        <w:tc>
          <w:tcPr>
            <w:tcW w:w="1560" w:type="dxa"/>
          </w:tcPr>
          <w:p w14:paraId="356DC2A6" w14:textId="77777777" w:rsidR="00531C56" w:rsidRDefault="00000000">
            <w:r>
              <w:t>Statistic</w:t>
            </w:r>
          </w:p>
        </w:tc>
        <w:tc>
          <w:tcPr>
            <w:tcW w:w="1560" w:type="dxa"/>
          </w:tcPr>
          <w:p w14:paraId="4ED1351E" w14:textId="77777777" w:rsidR="00531C56" w:rsidRDefault="00000000">
            <w:r>
              <w:t>p-value</w:t>
            </w:r>
          </w:p>
        </w:tc>
      </w:tr>
      <w:tr w:rsidR="00531C56" w14:paraId="5C307310" w14:textId="77777777">
        <w:tc>
          <w:tcPr>
            <w:tcW w:w="1560" w:type="dxa"/>
          </w:tcPr>
          <w:p w14:paraId="65C42F80" w14:textId="77777777" w:rsidR="00531C56" w:rsidRDefault="00000000">
            <w:r>
              <w:t>Case-fatality, % (deaths/cases)</w:t>
            </w:r>
          </w:p>
        </w:tc>
        <w:tc>
          <w:tcPr>
            <w:tcW w:w="1560" w:type="dxa"/>
          </w:tcPr>
          <w:p w14:paraId="325F3AF6" w14:textId="77777777" w:rsidR="00531C56" w:rsidRDefault="00000000">
            <w:r>
              <w:t>41.0% (121/295)</w:t>
            </w:r>
          </w:p>
        </w:tc>
        <w:tc>
          <w:tcPr>
            <w:tcW w:w="1560" w:type="dxa"/>
          </w:tcPr>
          <w:p w14:paraId="0A65B3B5" w14:textId="77777777" w:rsidR="00531C56" w:rsidRDefault="00000000">
            <w:r>
              <w:t>44.8% (483/1078)</w:t>
            </w:r>
          </w:p>
        </w:tc>
        <w:tc>
          <w:tcPr>
            <w:tcW w:w="1560" w:type="dxa"/>
          </w:tcPr>
          <w:p w14:paraId="7AABCD0A" w14:textId="77777777" w:rsidR="00531C56" w:rsidRDefault="00000000">
            <w:r>
              <w:t>Fisher's exact</w:t>
            </w:r>
          </w:p>
        </w:tc>
        <w:tc>
          <w:tcPr>
            <w:tcW w:w="1560" w:type="dxa"/>
          </w:tcPr>
          <w:p w14:paraId="2BE5F1DE" w14:textId="77777777" w:rsidR="00531C56" w:rsidRDefault="00000000">
            <w:r>
              <w:t>OR = 0.86</w:t>
            </w:r>
          </w:p>
        </w:tc>
        <w:tc>
          <w:tcPr>
            <w:tcW w:w="1560" w:type="dxa"/>
          </w:tcPr>
          <w:p w14:paraId="2F7CA771" w14:textId="77777777" w:rsidR="00531C56" w:rsidRDefault="00000000">
            <w:r>
              <w:t>0.261</w:t>
            </w:r>
          </w:p>
        </w:tc>
      </w:tr>
      <w:tr w:rsidR="00531C56" w14:paraId="1A009CF5" w14:textId="77777777">
        <w:tc>
          <w:tcPr>
            <w:tcW w:w="1560" w:type="dxa"/>
          </w:tcPr>
          <w:p w14:paraId="49BB24EC" w14:textId="77777777" w:rsidR="00531C56" w:rsidRDefault="00000000">
            <w:r>
              <w:t>DALYs per case, mean</w:t>
            </w:r>
          </w:p>
        </w:tc>
        <w:tc>
          <w:tcPr>
            <w:tcW w:w="1560" w:type="dxa"/>
          </w:tcPr>
          <w:p w14:paraId="2B845218" w14:textId="77777777" w:rsidR="00531C56" w:rsidRDefault="00000000">
            <w:r>
              <w:t>19.5</w:t>
            </w:r>
          </w:p>
        </w:tc>
        <w:tc>
          <w:tcPr>
            <w:tcW w:w="1560" w:type="dxa"/>
          </w:tcPr>
          <w:p w14:paraId="0E4E2CD4" w14:textId="77777777" w:rsidR="00531C56" w:rsidRDefault="00000000">
            <w:r>
              <w:t>10.6</w:t>
            </w:r>
          </w:p>
        </w:tc>
        <w:tc>
          <w:tcPr>
            <w:tcW w:w="1560" w:type="dxa"/>
          </w:tcPr>
          <w:p w14:paraId="681A66C7" w14:textId="77777777" w:rsidR="00531C56" w:rsidRDefault="00000000">
            <w:r>
              <w:t>Mann-Whitney U</w:t>
            </w:r>
          </w:p>
        </w:tc>
        <w:tc>
          <w:tcPr>
            <w:tcW w:w="1560" w:type="dxa"/>
          </w:tcPr>
          <w:p w14:paraId="57E5CF1C" w14:textId="77777777" w:rsidR="00531C56" w:rsidRDefault="00000000">
            <w:r>
              <w:t>U = 183,549.5</w:t>
            </w:r>
          </w:p>
        </w:tc>
        <w:tc>
          <w:tcPr>
            <w:tcW w:w="1560" w:type="dxa"/>
          </w:tcPr>
          <w:p w14:paraId="264757D0" w14:textId="77777777" w:rsidR="00531C56" w:rsidRDefault="00000000">
            <w:r>
              <w:t>&lt;0.001</w:t>
            </w:r>
          </w:p>
        </w:tc>
      </w:tr>
      <w:tr w:rsidR="00531C56" w14:paraId="632C0C64" w14:textId="77777777">
        <w:tc>
          <w:tcPr>
            <w:tcW w:w="1560" w:type="dxa"/>
          </w:tcPr>
          <w:p w14:paraId="2492270A" w14:textId="77777777" w:rsidR="00531C56" w:rsidRDefault="00000000">
            <w:r>
              <w:lastRenderedPageBreak/>
              <w:t>YLL per death, mean (decedents only)</w:t>
            </w:r>
          </w:p>
        </w:tc>
        <w:tc>
          <w:tcPr>
            <w:tcW w:w="1560" w:type="dxa"/>
          </w:tcPr>
          <w:p w14:paraId="15F081C7" w14:textId="77777777" w:rsidR="00531C56" w:rsidRDefault="00000000">
            <w:r>
              <w:t>45.9 (n=121)</w:t>
            </w:r>
          </w:p>
        </w:tc>
        <w:tc>
          <w:tcPr>
            <w:tcW w:w="1560" w:type="dxa"/>
          </w:tcPr>
          <w:p w14:paraId="46AF6C49" w14:textId="77777777" w:rsidR="00531C56" w:rsidRDefault="00000000">
            <w:r>
              <w:t>22.4 (n=483)</w:t>
            </w:r>
          </w:p>
        </w:tc>
        <w:tc>
          <w:tcPr>
            <w:tcW w:w="1560" w:type="dxa"/>
          </w:tcPr>
          <w:p w14:paraId="52DA00D0" w14:textId="77777777" w:rsidR="00531C56" w:rsidRDefault="00000000">
            <w:r>
              <w:t>Mann-Whitney U</w:t>
            </w:r>
          </w:p>
        </w:tc>
        <w:tc>
          <w:tcPr>
            <w:tcW w:w="1560" w:type="dxa"/>
          </w:tcPr>
          <w:p w14:paraId="105E12AB" w14:textId="77777777" w:rsidR="00531C56" w:rsidRDefault="00000000">
            <w:r>
              <w:t>U = 58,071.0</w:t>
            </w:r>
          </w:p>
        </w:tc>
        <w:tc>
          <w:tcPr>
            <w:tcW w:w="1560" w:type="dxa"/>
          </w:tcPr>
          <w:p w14:paraId="03FEDB34" w14:textId="77777777" w:rsidR="00531C56" w:rsidRDefault="00000000">
            <w:r>
              <w:t>&lt;0.001</w:t>
            </w:r>
          </w:p>
        </w:tc>
      </w:tr>
    </w:tbl>
    <w:p w14:paraId="2BE44281" w14:textId="7B3BCCB6" w:rsidR="00531C56" w:rsidRDefault="00000000">
      <w:pPr>
        <w:pStyle w:val="BodyText"/>
      </w:pPr>
      <w:r>
        <w:t xml:space="preserve">OR = odds ratio (early-onset relative to common-onset). Case-fatality was compared using Fisher’s exact test on the 2×2 onset-group × vital-status table (χ² = 1.20, p = 0.273, Yates-corrected, concordant with the exact test). DALYs per case and YLL per death were compared using Mann-Whitney U tests, given right-skewed, zero-inflated distributions unsuited to a t-test. The YLL share of total DALYs (96.4% vs. 94.5%) is a group-level composition ratio rather than an independent per-patient outcome and was not formally tested. </w:t>
      </w:r>
    </w:p>
    <w:p w14:paraId="6ED81119" w14:textId="77777777" w:rsidR="00531C56" w:rsidRDefault="00000000">
      <w:pPr>
        <w:pStyle w:val="BodyText"/>
      </w:pPr>
      <w:r>
        <w:t>Referenced in the main text at: Results §3.4 (Burden by Age Group and Age at Onset).</w:t>
      </w:r>
    </w:p>
    <w:sectPr w:rsidR="00531C5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1CB463" w14:textId="77777777" w:rsidR="00EC4AE9" w:rsidRDefault="00EC4AE9">
      <w:pPr>
        <w:spacing w:after="0"/>
      </w:pPr>
      <w:r>
        <w:separator/>
      </w:r>
    </w:p>
  </w:endnote>
  <w:endnote w:type="continuationSeparator" w:id="0">
    <w:p w14:paraId="7516EFAC" w14:textId="77777777" w:rsidR="00EC4AE9" w:rsidRDefault="00EC4A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9156B5" w14:textId="77777777" w:rsidR="00EC4AE9" w:rsidRDefault="00EC4AE9">
      <w:r>
        <w:separator/>
      </w:r>
    </w:p>
  </w:footnote>
  <w:footnote w:type="continuationSeparator" w:id="0">
    <w:p w14:paraId="4A7EBC4C" w14:textId="77777777" w:rsidR="00EC4AE9" w:rsidRDefault="00EC4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D3CCBF0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DBD8A32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2081633961">
    <w:abstractNumId w:val="1"/>
  </w:num>
  <w:num w:numId="2" w16cid:durableId="805321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290D0F"/>
    <w:rsid w:val="00341673"/>
    <w:rsid w:val="00355326"/>
    <w:rsid w:val="003B644C"/>
    <w:rsid w:val="004E29B3"/>
    <w:rsid w:val="00531C56"/>
    <w:rsid w:val="00590D07"/>
    <w:rsid w:val="006A440B"/>
    <w:rsid w:val="007023D0"/>
    <w:rsid w:val="00740663"/>
    <w:rsid w:val="00784D58"/>
    <w:rsid w:val="008D6863"/>
    <w:rsid w:val="00956C8B"/>
    <w:rsid w:val="009D5876"/>
    <w:rsid w:val="00A17201"/>
    <w:rsid w:val="00A529EE"/>
    <w:rsid w:val="00B3777D"/>
    <w:rsid w:val="00B86B75"/>
    <w:rsid w:val="00BA4343"/>
    <w:rsid w:val="00BC48D5"/>
    <w:rsid w:val="00C36279"/>
    <w:rsid w:val="00C372F9"/>
    <w:rsid w:val="00C475AB"/>
    <w:rsid w:val="00D527FC"/>
    <w:rsid w:val="00E315A3"/>
    <w:rsid w:val="00EC4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F206A7"/>
  <w15:docId w15:val="{B730BDBE-BD7E-8048-9BF0-1E6117BB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BodyTextChar">
    <w:name w:val="Body Text Char"/>
    <w:basedOn w:val="DefaultParagraphFont"/>
    <w:link w:val="BodyText"/>
    <w:rsid w:val="003B6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Ummi Salwa Hj Suhaimei</dc:creator>
  <cp:keywords/>
  <cp:lastModifiedBy>Ummi Salwa Hj Suhaimei</cp:lastModifiedBy>
  <cp:revision>9</cp:revision>
  <dcterms:created xsi:type="dcterms:W3CDTF">2026-07-25T03:58:00Z</dcterms:created>
  <dcterms:modified xsi:type="dcterms:W3CDTF">2026-08-28T03:09:00Z</dcterms:modified>
</cp:coreProperties>
</file>