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sz w:val="24"/>
          <w:szCs w:val="24"/>
        </w:rPr>
      </w:pPr>
      <w:bookmarkStart w:colFirst="0" w:colLast="0" w:name="_heading=h.gjdgxs" w:id="0"/>
      <w:bookmarkEnd w:id="0"/>
      <w:r w:rsidDel="00000000" w:rsidR="00000000" w:rsidRPr="00000000">
        <w:rPr>
          <w:rFonts w:ascii="Times New Roman" w:cs="Times New Roman" w:eastAsia="Times New Roman" w:hAnsi="Times New Roman"/>
          <w:b w:val="1"/>
          <w:sz w:val="24"/>
          <w:szCs w:val="24"/>
          <w:rtl w:val="0"/>
        </w:rPr>
        <w:t xml:space="preserve">Supplementary Material</w:t>
      </w:r>
    </w:p>
    <w:p w:rsidR="00000000" w:rsidDel="00000000" w:rsidP="00000000" w:rsidRDefault="00000000" w:rsidRPr="00000000" w14:paraId="00000002">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Introduction</w:t>
      </w:r>
    </w:p>
    <w:p w:rsidR="00000000" w:rsidDel="00000000" w:rsidP="00000000" w:rsidRDefault="00000000" w:rsidRPr="00000000" w14:paraId="00000004">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Legislation</w:t>
      </w:r>
    </w:p>
    <w:p w:rsidR="00000000" w:rsidDel="00000000" w:rsidP="00000000" w:rsidRDefault="00000000" w:rsidRPr="00000000" w14:paraId="00000005">
      <w:pPr>
        <w:spacing w:line="480" w:lineRule="auto"/>
        <w:jc w:val="lef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In 2018 the first "Decreto Sicurezza" was issued. It modifies the previous legislation in several ways: the cancellation of humanitarian residence permits is determined. In its place the decree introduces a series of special permits. As regards repatriation centers, there is an increase in the maximum time during which foreigners may be detained. The list of offences involving the withdrawal of international protection is being extended and international protection status will be withdrawn if the refugee returns, even temporarily, to his country of origin. The SPRAR system has been limited to those who have seen their application for international protection granted, but those who are still applicants, will no longer be able to take part. The latter will then be transferred to other reception centers, where they will wait for decisions on their applications without carrying out particular activities or courses. In 2019 the law is still amended with the "Decreto sicurezza bis", which concerns rescue at sea. The law may «restrict or prohibit the entry, transit or stopping of ships in the territorial sea». If a ship breaches the prohibitions imposed, an administrative sanctions and the confiscation of the ship, preceded by the immediate seizure, are foreseen. Those caught in the act of resistance or violence against warships must be arrested immediately. In October 2020 the "Decreti sicurezza" were modified by changing the requirements under which international protection will be granted and abolishing the fines against NGOs entering Italian territorial waters after rescuing migrants. The Sprar system is re-established.</w:t>
      </w:r>
      <w:r w:rsidDel="00000000" w:rsidR="00000000" w:rsidRPr="00000000">
        <w:rPr>
          <w:rFonts w:ascii="Times New Roman" w:cs="Times New Roman" w:eastAsia="Times New Roman" w:hAnsi="Times New Roman"/>
          <w:sz w:val="24"/>
          <w:szCs w:val="24"/>
          <w:vertAlign w:val="superscript"/>
          <w:rtl w:val="0"/>
        </w:rPr>
        <w:t xml:space="preserve">1,2</w:t>
      </w:r>
    </w:p>
    <w:p w:rsidR="00000000" w:rsidDel="00000000" w:rsidP="00000000" w:rsidRDefault="00000000" w:rsidRPr="00000000" w14:paraId="00000006">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Methods</w:t>
      </w:r>
    </w:p>
    <w:p w:rsidR="00000000" w:rsidDel="00000000" w:rsidP="00000000" w:rsidRDefault="00000000" w:rsidRPr="00000000" w14:paraId="00000007">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Countries of arrival</w:t>
      </w:r>
    </w:p>
    <w:p w:rsidR="00000000" w:rsidDel="00000000" w:rsidP="00000000" w:rsidRDefault="00000000" w:rsidRPr="00000000" w14:paraId="0000000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ASs came from 47 different countries, divided in this article in five macro regions:</w:t>
      </w:r>
    </w:p>
    <w:p w:rsidR="00000000" w:rsidDel="00000000" w:rsidP="00000000" w:rsidRDefault="00000000" w:rsidRPr="00000000" w14:paraId="0000000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Sub-Saharan Africa: Benin, Burkina Faso, Cameroon, Chad, Ivory Coast, Gambia, Ghana, Guinea, Guinea Conakry, Liberia, Mali, Niger, Nigeria, Central African Republic, Senegal, Sierra Leone, Togo.</w:t>
      </w:r>
    </w:p>
    <w:p w:rsidR="00000000" w:rsidDel="00000000" w:rsidP="00000000" w:rsidRDefault="00000000" w:rsidRPr="00000000" w14:paraId="0000000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Horn of Africa: Eritrea, Ethiopia, Somalia, Sudan.</w:t>
      </w:r>
    </w:p>
    <w:p w:rsidR="00000000" w:rsidDel="00000000" w:rsidP="00000000" w:rsidRDefault="00000000" w:rsidRPr="00000000" w14:paraId="0000000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Central-Southern Africa: Burundi, Comoro Islands, Congo, Gabon, Madagascar, Rwanda, South Africa.</w:t>
      </w:r>
    </w:p>
    <w:p w:rsidR="00000000" w:rsidDel="00000000" w:rsidP="00000000" w:rsidRDefault="00000000" w:rsidRPr="00000000" w14:paraId="0000000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Northern Africa: Algeria, Egypt, Libya, Morocco, Mauritania, Tunisia.</w:t>
      </w:r>
    </w:p>
    <w:p w:rsidR="00000000" w:rsidDel="00000000" w:rsidP="00000000" w:rsidRDefault="00000000" w:rsidRPr="00000000" w14:paraId="0000000D">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Middle East: Afghanistan, Iran, Iraq, Lebanon, Pakistan, Palestine, Syria, Turkey, Yemen.</w:t>
      </w:r>
    </w:p>
    <w:p w:rsidR="00000000" w:rsidDel="00000000" w:rsidP="00000000" w:rsidRDefault="00000000" w:rsidRPr="00000000" w14:paraId="0000000E">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East: Bangladesh, Cambodia, India, Nepal.</w:t>
      </w:r>
    </w:p>
    <w:p w:rsidR="00000000" w:rsidDel="00000000" w:rsidP="00000000" w:rsidRDefault="00000000" w:rsidRPr="00000000" w14:paraId="0000000F">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Trees</w:t>
      </w:r>
    </w:p>
    <w:p w:rsidR="00000000" w:rsidDel="00000000" w:rsidP="00000000" w:rsidRDefault="00000000" w:rsidRPr="00000000" w14:paraId="00000010">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Conditional Inference Trees were used to perform a descriptive analysis of the sample and to detect the covariates with the strongest association with the outcome variables. This class of non-parametric trees, unlike most recursive partitioning algorithms, takes into account the distributional properties of the measures. In fact, the simple recursive partitioning algorithms may suffer overfitting and selection bias of the covariates, when those allow for many splits to choose from. Moreover, multiple test procedures are applied to determine whether no significant association between any of the covariates and the response can be stated and the recursion needs to stop.</w:t>
      </w:r>
    </w:p>
    <w:p w:rsidR="00000000" w:rsidDel="00000000" w:rsidP="00000000" w:rsidRDefault="00000000" w:rsidRPr="00000000" w14:paraId="0000001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Given a sample of n observations L</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a vector of weights w = (w</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,...,w</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is associated to the observations, so that every node is represented by a vector of weights | w</w:t>
      </w:r>
      <w:r w:rsidDel="00000000" w:rsidR="00000000" w:rsidRPr="00000000">
        <w:rPr>
          <w:rFonts w:ascii="Times New Roman" w:cs="Times New Roman" w:eastAsia="Times New Roman" w:hAnsi="Times New Roman"/>
          <w:sz w:val="24"/>
          <w:szCs w:val="24"/>
          <w:vertAlign w:val="subscript"/>
          <w:rtl w:val="0"/>
        </w:rPr>
        <w:t xml:space="preserve">i </w:t>
      </w:r>
      <w:r w:rsidDel="00000000" w:rsidR="00000000" w:rsidRPr="00000000">
        <w:rPr>
          <w:rFonts w:ascii="Times New Roman" w:cs="Times New Roman" w:eastAsia="Times New Roman" w:hAnsi="Times New Roman"/>
          <w:sz w:val="24"/>
          <w:szCs w:val="24"/>
          <w:rtl w:val="0"/>
        </w:rPr>
        <w:t xml:space="preserve">= 1, i = 1, ..., n if the corresponding observation belongs to the node, w</w:t>
      </w:r>
      <w:r w:rsidDel="00000000" w:rsidR="00000000" w:rsidRPr="00000000">
        <w:rPr>
          <w:rFonts w:ascii="Times New Roman" w:cs="Times New Roman" w:eastAsia="Times New Roman" w:hAnsi="Times New Roman"/>
          <w:sz w:val="24"/>
          <w:szCs w:val="24"/>
          <w:vertAlign w:val="subscript"/>
          <w:rtl w:val="0"/>
        </w:rPr>
        <w:t xml:space="preserve">i </w:t>
      </w:r>
      <w:r w:rsidDel="00000000" w:rsidR="00000000" w:rsidRPr="00000000">
        <w:rPr>
          <w:rFonts w:ascii="Times New Roman" w:cs="Times New Roman" w:eastAsia="Times New Roman" w:hAnsi="Times New Roman"/>
          <w:sz w:val="24"/>
          <w:szCs w:val="24"/>
          <w:rtl w:val="0"/>
        </w:rPr>
        <w:t xml:space="preserve">= 0 otherwise.</w:t>
      </w:r>
    </w:p>
    <w:p w:rsidR="00000000" w:rsidDel="00000000" w:rsidP="00000000" w:rsidRDefault="00000000" w:rsidRPr="00000000" w14:paraId="00000012">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each node w, the global null hypothesis H</w:t>
      </w:r>
      <w:r w:rsidDel="00000000" w:rsidR="00000000" w:rsidRPr="00000000">
        <w:rPr>
          <w:rFonts w:ascii="Times New Roman" w:cs="Times New Roman" w:eastAsia="Times New Roman" w:hAnsi="Times New Roman"/>
          <w:sz w:val="24"/>
          <w:szCs w:val="24"/>
          <w:vertAlign w:val="subscript"/>
          <w:rtl w:val="0"/>
        </w:rPr>
        <w:t xml:space="preserve">0 </w:t>
      </w:r>
      <w:r w:rsidDel="00000000" w:rsidR="00000000" w:rsidRPr="00000000">
        <w:rPr>
          <w:rFonts w:ascii="Times New Roman" w:cs="Times New Roman" w:eastAsia="Times New Roman" w:hAnsi="Times New Roman"/>
          <w:sz w:val="24"/>
          <w:szCs w:val="24"/>
          <w:rtl w:val="0"/>
        </w:rPr>
        <w:t xml:space="preserve">is built in terms of m partial hypotheses 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j</w:t>
      </w:r>
      <w:r w:rsidDel="00000000" w:rsidR="00000000" w:rsidRPr="00000000">
        <w:rPr>
          <w:rFonts w:ascii="Times New Roman" w:cs="Times New Roman" w:eastAsia="Times New Roman" w:hAnsi="Times New Roman"/>
          <w:sz w:val="24"/>
          <w:szCs w:val="24"/>
          <w:rtl w:val="0"/>
        </w:rPr>
        <w:t xml:space="preserve">,j=1,...,m: D(Y|X</w:t>
      </w:r>
      <w:r w:rsidDel="00000000" w:rsidR="00000000" w:rsidRPr="00000000">
        <w:rPr>
          <w:rFonts w:ascii="Times New Roman" w:cs="Times New Roman" w:eastAsia="Times New Roman" w:hAnsi="Times New Roman"/>
          <w:sz w:val="24"/>
          <w:szCs w:val="24"/>
          <w:vertAlign w:val="subscript"/>
          <w:rtl w:val="0"/>
        </w:rPr>
        <w:t xml:space="preserve">j</w:t>
      </w:r>
      <w:r w:rsidDel="00000000" w:rsidR="00000000" w:rsidRPr="00000000">
        <w:rPr>
          <w:rFonts w:ascii="Times New Roman" w:cs="Times New Roman" w:eastAsia="Times New Roman" w:hAnsi="Times New Roman"/>
          <w:sz w:val="24"/>
          <w:szCs w:val="24"/>
          <w:rtl w:val="0"/>
        </w:rPr>
        <w:t xml:space="preserve">)=D(Y) =&gt; H</w:t>
      </w:r>
      <w:r w:rsidDel="00000000" w:rsidR="00000000" w:rsidRPr="00000000">
        <w:rPr>
          <w:rFonts w:ascii="Times New Roman" w:cs="Times New Roman" w:eastAsia="Times New Roman" w:hAnsi="Times New Roman"/>
          <w:sz w:val="24"/>
          <w:szCs w:val="24"/>
          <w:vertAlign w:val="subscript"/>
          <w:rtl w:val="0"/>
        </w:rPr>
        <w:t xml:space="preserve">0 </w:t>
      </w:r>
      <w:r w:rsidDel="00000000" w:rsidR="00000000" w:rsidRPr="00000000">
        <w:rPr>
          <w:rFonts w:ascii="Times New Roman" w:cs="Times New Roman" w:eastAsia="Times New Roman" w:hAnsi="Times New Roman"/>
          <w:sz w:val="24"/>
          <w:szCs w:val="24"/>
          <w:rtl w:val="0"/>
        </w:rPr>
        <w:t xml:space="preserve">= </w:t>
      </w:r>
      <w:sdt>
        <w:sdtPr>
          <w:tag w:val="goog_rdk_0"/>
        </w:sdtPr>
        <w:sdtContent>
          <w:r w:rsidDel="00000000" w:rsidR="00000000" w:rsidRPr="00000000">
            <w:rPr>
              <w:rFonts w:ascii="Gungsuh" w:cs="Gungsuh" w:eastAsia="Gungsuh" w:hAnsi="Gungsuh"/>
              <w:color w:val="202124"/>
              <w:sz w:val="24"/>
              <w:szCs w:val="24"/>
              <w:rtl w:val="0"/>
            </w:rPr>
            <w:t xml:space="preserve">∩</w:t>
          </w:r>
        </w:sdtContent>
      </w:sdt>
      <w:r w:rsidDel="00000000" w:rsidR="00000000" w:rsidRPr="00000000">
        <w:rPr>
          <w:rFonts w:ascii="Times New Roman" w:cs="Times New Roman" w:eastAsia="Times New Roman" w:hAnsi="Times New Roman"/>
          <w:sz w:val="24"/>
          <w:szCs w:val="24"/>
          <w:vertAlign w:val="superscript"/>
          <w:rtl w:val="0"/>
        </w:rPr>
        <w:t xml:space="preserve">m</w:t>
      </w:r>
      <w:r w:rsidDel="00000000" w:rsidR="00000000" w:rsidRPr="00000000">
        <w:rPr>
          <w:rFonts w:ascii="Times New Roman" w:cs="Times New Roman" w:eastAsia="Times New Roman" w:hAnsi="Times New Roman"/>
          <w:sz w:val="24"/>
          <w:szCs w:val="24"/>
          <w:vertAlign w:val="subscript"/>
          <w:rtl w:val="0"/>
        </w:rPr>
        <w:t xml:space="preserve">j=1</w:t>
      </w: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j</w:t>
      </w:r>
      <w:r w:rsidDel="00000000" w:rsidR="00000000" w:rsidRPr="00000000">
        <w:rPr>
          <w:rFonts w:ascii="Times New Roman" w:cs="Times New Roman" w:eastAsia="Times New Roman" w:hAnsi="Times New Roman"/>
          <w:sz w:val="24"/>
          <w:szCs w:val="24"/>
          <w:rtl w:val="0"/>
        </w:rPr>
        <w:t xml:space="preserve">. If the global H</w:t>
      </w:r>
      <w:r w:rsidDel="00000000" w:rsidR="00000000" w:rsidRPr="00000000">
        <w:rPr>
          <w:rFonts w:ascii="Times New Roman" w:cs="Times New Roman" w:eastAsia="Times New Roman" w:hAnsi="Times New Roman"/>
          <w:sz w:val="24"/>
          <w:szCs w:val="24"/>
          <w:vertAlign w:val="subscript"/>
          <w:rtl w:val="0"/>
        </w:rPr>
        <w:t xml:space="preserve">0 </w:t>
      </w:r>
      <w:r w:rsidDel="00000000" w:rsidR="00000000" w:rsidRPr="00000000">
        <w:rPr>
          <w:rFonts w:ascii="Times New Roman" w:cs="Times New Roman" w:eastAsia="Times New Roman" w:hAnsi="Times New Roman"/>
          <w:sz w:val="24"/>
          <w:szCs w:val="24"/>
          <w:rtl w:val="0"/>
        </w:rPr>
        <w:t xml:space="preserve">is rejected associations are measured by statistics that measure deviation from 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j</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Algorithm steps:</w:t>
      </w:r>
    </w:p>
    <w:p w:rsidR="00000000" w:rsidDel="00000000" w:rsidP="00000000" w:rsidRDefault="00000000" w:rsidRPr="00000000" w14:paraId="0000001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480" w:lineRule="auto"/>
        <w:ind w:left="72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Given the vector of weights w, the algorithm tests 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global null hypothesis of independence between Y and any of the m covariates. If the hypothesis is rejected, 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j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selected so that it has the strongest association with Y.</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48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subset A </w:t>
      </w:r>
      <w:sdt>
        <w:sdtPr>
          <w:tag w:val="goog_rdk_1"/>
        </w:sdtPr>
        <w:sdtContent>
          <w:r w:rsidDel="00000000" w:rsidR="00000000" w:rsidRPr="00000000">
            <w:rPr>
              <w:rFonts w:ascii="Gungsuh" w:cs="Gungsuh" w:eastAsia="Gungsuh" w:hAnsi="Gungsuh"/>
              <w:b w:val="0"/>
              <w:i w:val="0"/>
              <w:smallCaps w:val="0"/>
              <w:strike w:val="0"/>
              <w:color w:val="202124"/>
              <w:sz w:val="24"/>
              <w:szCs w:val="24"/>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5"/>
          <w:szCs w:val="25"/>
          <w:u w:val="none"/>
          <w:shd w:fill="auto" w:val="clear"/>
          <w:vertAlign w:val="baseline"/>
          <w:rtl w:val="0"/>
        </w:rPr>
        <w:t xml:space="preserve">χ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j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chosen ( where χ</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 j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the space of the covariate 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j</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χ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j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split in A and χ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j</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r w:rsidDel="00000000" w:rsidR="00000000" w:rsidRPr="00000000">
        <w:rPr>
          <w:rtl w:val="0"/>
        </w:rPr>
      </w:r>
    </w:p>
    <w:p w:rsidR="00000000" w:rsidDel="00000000" w:rsidP="00000000" w:rsidRDefault="00000000" w:rsidRPr="00000000" w14:paraId="00000016">
      <w:pPr>
        <w:numPr>
          <w:ilvl w:val="0"/>
          <w:numId w:val="2"/>
        </w:numPr>
        <w:spacing w:line="48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t>
      </w:r>
      <w:r w:rsidDel="00000000" w:rsidR="00000000" w:rsidRPr="00000000">
        <w:rPr>
          <w:rFonts w:ascii="Times New Roman" w:cs="Times New Roman" w:eastAsia="Times New Roman" w:hAnsi="Times New Roman"/>
          <w:sz w:val="24"/>
          <w:szCs w:val="24"/>
          <w:vertAlign w:val="subscript"/>
          <w:rtl w:val="0"/>
        </w:rPr>
        <w:t xml:space="preserve">R</w:t>
      </w:r>
      <w:r w:rsidDel="00000000" w:rsidR="00000000" w:rsidRPr="00000000">
        <w:rPr>
          <w:rFonts w:ascii="Times New Roman" w:cs="Times New Roman" w:eastAsia="Times New Roman" w:hAnsi="Times New Roman"/>
          <w:sz w:val="24"/>
          <w:szCs w:val="24"/>
          <w:rtl w:val="0"/>
        </w:rPr>
        <w:t xml:space="preserve"> and w</w:t>
      </w:r>
      <w:r w:rsidDel="00000000" w:rsidR="00000000" w:rsidRPr="00000000">
        <w:rPr>
          <w:rFonts w:ascii="Times New Roman" w:cs="Times New Roman" w:eastAsia="Times New Roman" w:hAnsi="Times New Roman"/>
          <w:sz w:val="24"/>
          <w:szCs w:val="24"/>
          <w:vertAlign w:val="subscript"/>
          <w:rtl w:val="0"/>
        </w:rPr>
        <w:t xml:space="preserve">L </w:t>
      </w:r>
      <w:r w:rsidDel="00000000" w:rsidR="00000000" w:rsidRPr="00000000">
        <w:rPr>
          <w:rFonts w:ascii="Times New Roman" w:cs="Times New Roman" w:eastAsia="Times New Roman" w:hAnsi="Times New Roman"/>
          <w:sz w:val="24"/>
          <w:szCs w:val="24"/>
          <w:rtl w:val="0"/>
        </w:rPr>
        <w:t xml:space="preserve">determine the subgroups with</w:t>
      </w:r>
      <w:r w:rsidDel="00000000" w:rsidR="00000000" w:rsidRPr="00000000">
        <w:rPr>
          <w:rtl w:val="0"/>
        </w:rPr>
        <w:br w:type="textWrapping"/>
      </w:r>
      <w:r w:rsidDel="00000000" w:rsidR="00000000" w:rsidRPr="00000000">
        <w:rPr>
          <w:rFonts w:ascii="Times New Roman" w:cs="Times New Roman" w:eastAsia="Times New Roman" w:hAnsi="Times New Roman"/>
          <w:sz w:val="24"/>
          <w:szCs w:val="24"/>
          <w:rtl w:val="0"/>
        </w:rPr>
        <w:t xml:space="preserve">w</w:t>
      </w:r>
      <w:r w:rsidDel="00000000" w:rsidR="00000000" w:rsidRPr="00000000">
        <w:rPr>
          <w:rFonts w:ascii="Times New Roman" w:cs="Times New Roman" w:eastAsia="Times New Roman" w:hAnsi="Times New Roman"/>
          <w:sz w:val="24"/>
          <w:szCs w:val="24"/>
          <w:vertAlign w:val="subscript"/>
          <w:rtl w:val="0"/>
        </w:rPr>
        <w:t xml:space="preserve">Li </w:t>
      </w:r>
      <w:r w:rsidDel="00000000" w:rsidR="00000000" w:rsidRPr="00000000">
        <w:rPr>
          <w:rFonts w:ascii="Times New Roman" w:cs="Times New Roman" w:eastAsia="Times New Roman" w:hAnsi="Times New Roman"/>
          <w:sz w:val="24"/>
          <w:szCs w:val="24"/>
          <w:rtl w:val="0"/>
        </w:rPr>
        <w:t xml:space="preserve">= w</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I(X</w:t>
      </w:r>
      <w:r w:rsidDel="00000000" w:rsidR="00000000" w:rsidRPr="00000000">
        <w:rPr>
          <w:rFonts w:ascii="Times New Roman" w:cs="Times New Roman" w:eastAsia="Times New Roman" w:hAnsi="Times New Roman"/>
          <w:sz w:val="24"/>
          <w:szCs w:val="24"/>
          <w:vertAlign w:val="subscript"/>
          <w:rtl w:val="0"/>
        </w:rPr>
        <w:t xml:space="preserve">ji </w:t>
      </w:r>
      <w:sdt>
        <w:sdtPr>
          <w:tag w:val="goog_rdk_2"/>
        </w:sdtPr>
        <w:sdtContent>
          <w:r w:rsidDel="00000000" w:rsidR="00000000" w:rsidRPr="00000000">
            <w:rPr>
              <w:rFonts w:ascii="Gungsuh" w:cs="Gungsuh" w:eastAsia="Gungsuh" w:hAnsi="Gungsuh"/>
              <w:color w:val="202124"/>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A), w</w:t>
      </w:r>
      <w:r w:rsidDel="00000000" w:rsidR="00000000" w:rsidRPr="00000000">
        <w:rPr>
          <w:rFonts w:ascii="Times New Roman" w:cs="Times New Roman" w:eastAsia="Times New Roman" w:hAnsi="Times New Roman"/>
          <w:sz w:val="24"/>
          <w:szCs w:val="24"/>
          <w:vertAlign w:val="subscript"/>
          <w:rtl w:val="0"/>
        </w:rPr>
        <w:t xml:space="preserve">Ri </w:t>
      </w:r>
      <w:r w:rsidDel="00000000" w:rsidR="00000000" w:rsidRPr="00000000">
        <w:rPr>
          <w:rFonts w:ascii="Times New Roman" w:cs="Times New Roman" w:eastAsia="Times New Roman" w:hAnsi="Times New Roman"/>
          <w:sz w:val="24"/>
          <w:szCs w:val="24"/>
          <w:rtl w:val="0"/>
        </w:rPr>
        <w:t xml:space="preserve">= w</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I(X</w:t>
      </w:r>
      <w:r w:rsidDel="00000000" w:rsidR="00000000" w:rsidRPr="00000000">
        <w:rPr>
          <w:rFonts w:ascii="Times New Roman" w:cs="Times New Roman" w:eastAsia="Times New Roman" w:hAnsi="Times New Roman"/>
          <w:sz w:val="24"/>
          <w:szCs w:val="24"/>
          <w:vertAlign w:val="subscript"/>
          <w:rtl w:val="0"/>
        </w:rPr>
        <w:t xml:space="preserve">ji </w:t>
      </w:r>
      <w:sdt>
        <w:sdtPr>
          <w:tag w:val="goog_rdk_3"/>
        </w:sdtPr>
        <w:sdtContent>
          <w:r w:rsidDel="00000000" w:rsidR="00000000" w:rsidRPr="00000000">
            <w:rPr>
              <w:rFonts w:ascii="Gungsuh" w:cs="Gungsuh" w:eastAsia="Gungsuh" w:hAnsi="Gungsuh"/>
              <w:color w:val="202124"/>
              <w:sz w:val="24"/>
              <w:szCs w:val="24"/>
              <w:rtl w:val="0"/>
            </w:rPr>
            <w:t xml:space="preserve">∈</w:t>
          </w:r>
        </w:sdtContent>
      </w:sdt>
      <w:r w:rsidDel="00000000" w:rsidR="00000000" w:rsidRPr="00000000">
        <w:rPr>
          <w:rFonts w:ascii="Arial" w:cs="Arial" w:eastAsia="Arial" w:hAnsi="Arial"/>
          <w:color w:val="202124"/>
          <w:sz w:val="24"/>
          <w:szCs w:val="24"/>
          <w:rtl w:val="0"/>
        </w:rPr>
        <w:t xml:space="preserve"> </w:t>
      </w:r>
      <w:r w:rsidDel="00000000" w:rsidR="00000000" w:rsidRPr="00000000">
        <w:rPr>
          <w:rFonts w:ascii="Times New Roman" w:cs="Times New Roman" w:eastAsia="Times New Roman" w:hAnsi="Times New Roman"/>
          <w:color w:val="000000"/>
          <w:sz w:val="25"/>
          <w:szCs w:val="25"/>
          <w:rtl w:val="0"/>
        </w:rPr>
        <w:t xml:space="preserve">χ </w:t>
      </w:r>
      <w:r w:rsidDel="00000000" w:rsidR="00000000" w:rsidRPr="00000000">
        <w:rPr>
          <w:rFonts w:ascii="Times New Roman" w:cs="Times New Roman" w:eastAsia="Times New Roman" w:hAnsi="Times New Roman"/>
          <w:sz w:val="24"/>
          <w:szCs w:val="24"/>
          <w:vertAlign w:val="subscript"/>
          <w:rtl w:val="0"/>
        </w:rPr>
        <w:t xml:space="preserve">j</w:t>
      </w:r>
      <w:r w:rsidDel="00000000" w:rsidR="00000000" w:rsidRPr="00000000">
        <w:rPr>
          <w:rFonts w:ascii="Times New Roman" w:cs="Times New Roman" w:eastAsia="Times New Roman" w:hAnsi="Times New Roman"/>
          <w:sz w:val="24"/>
          <w:szCs w:val="24"/>
          <w:rtl w:val="0"/>
        </w:rPr>
        <w:t xml:space="preserve"> / A), i = 1,...,n.</w:t>
      </w:r>
    </w:p>
    <w:p w:rsidR="00000000" w:rsidDel="00000000" w:rsidP="00000000" w:rsidRDefault="00000000" w:rsidRPr="00000000" w14:paraId="00000017">
      <w:pPr>
        <w:numPr>
          <w:ilvl w:val="0"/>
          <w:numId w:val="2"/>
        </w:numPr>
        <w:spacing w:line="480" w:lineRule="auto"/>
        <w:ind w:left="72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Steps 1. and 2. are recursively repeated, using the new weights w</w:t>
      </w:r>
      <w:r w:rsidDel="00000000" w:rsidR="00000000" w:rsidRPr="00000000">
        <w:rPr>
          <w:rFonts w:ascii="Times New Roman" w:cs="Times New Roman" w:eastAsia="Times New Roman" w:hAnsi="Times New Roman"/>
          <w:sz w:val="24"/>
          <w:szCs w:val="24"/>
          <w:vertAlign w:val="subscript"/>
          <w:rtl w:val="0"/>
        </w:rPr>
        <w:t xml:space="preserve">R,</w:t>
      </w:r>
      <w:r w:rsidDel="00000000" w:rsidR="00000000" w:rsidRPr="00000000">
        <w:rPr>
          <w:rFonts w:ascii="Times New Roman" w:cs="Times New Roman" w:eastAsia="Times New Roman" w:hAnsi="Times New Roman"/>
          <w:sz w:val="24"/>
          <w:szCs w:val="24"/>
          <w:rtl w:val="0"/>
        </w:rPr>
        <w:t xml:space="preserve"> w</w:t>
      </w:r>
      <w:r w:rsidDel="00000000" w:rsidR="00000000" w:rsidRPr="00000000">
        <w:rPr>
          <w:rFonts w:ascii="Times New Roman" w:cs="Times New Roman" w:eastAsia="Times New Roman" w:hAnsi="Times New Roman"/>
          <w:sz w:val="24"/>
          <w:szCs w:val="24"/>
          <w:vertAlign w:val="subscript"/>
          <w:rtl w:val="0"/>
        </w:rPr>
        <w:t xml:space="preserve">L</w:t>
      </w:r>
      <w:r w:rsidDel="00000000" w:rsidR="00000000" w:rsidRPr="00000000">
        <w:rPr>
          <w:rtl w:val="0"/>
        </w:rPr>
      </w:r>
    </w:p>
    <w:p w:rsidR="00000000" w:rsidDel="00000000" w:rsidP="00000000" w:rsidRDefault="00000000" w:rsidRPr="00000000" w14:paraId="0000001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algorithm stops when the global H</w:t>
      </w:r>
      <w:r w:rsidDel="00000000" w:rsidR="00000000" w:rsidRPr="00000000">
        <w:rPr>
          <w:rFonts w:ascii="Times New Roman" w:cs="Times New Roman" w:eastAsia="Times New Roman" w:hAnsi="Times New Roman"/>
          <w:sz w:val="24"/>
          <w:szCs w:val="24"/>
          <w:vertAlign w:val="subscript"/>
          <w:rtl w:val="0"/>
        </w:rPr>
        <w:t xml:space="preserve">0 </w:t>
      </w:r>
      <w:r w:rsidDel="00000000" w:rsidR="00000000" w:rsidRPr="00000000">
        <w:rPr>
          <w:rFonts w:ascii="Times New Roman" w:cs="Times New Roman" w:eastAsia="Times New Roman" w:hAnsi="Times New Roman"/>
          <w:sz w:val="24"/>
          <w:szCs w:val="24"/>
          <w:rtl w:val="0"/>
        </w:rPr>
        <w:t xml:space="preserve">of independence between Y and any of the covariates cannot be rejected for a certain level α.</w:t>
      </w:r>
    </w:p>
    <w:p w:rsidR="00000000" w:rsidDel="00000000" w:rsidP="00000000" w:rsidRDefault="00000000" w:rsidRPr="00000000" w14:paraId="00000019">
      <w:pPr>
        <w:spacing w:line="480" w:lineRule="auto"/>
        <w:jc w:val="lef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Moreover, Bonferroni correction for adjusted p-values was used to reduce the probability of type I error in testing the multiple partial null hypotheses that define 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rtl w:val="0"/>
        </w:rPr>
        <w:t xml:space="preserve">. The steps above lead to a partition of χ | each part B</w:t>
      </w:r>
      <w:r w:rsidDel="00000000" w:rsidR="00000000" w:rsidRPr="00000000">
        <w:rPr>
          <w:rFonts w:ascii="Times New Roman" w:cs="Times New Roman" w:eastAsia="Times New Roman" w:hAnsi="Times New Roman"/>
          <w:sz w:val="24"/>
          <w:szCs w:val="24"/>
          <w:vertAlign w:val="subscript"/>
          <w:rtl w:val="0"/>
        </w:rPr>
        <w:t xml:space="preserve">i </w:t>
      </w:r>
      <w:r w:rsidDel="00000000" w:rsidR="00000000" w:rsidRPr="00000000">
        <w:rPr>
          <w:rFonts w:ascii="Times New Roman" w:cs="Times New Roman" w:eastAsia="Times New Roman" w:hAnsi="Times New Roman"/>
          <w:sz w:val="24"/>
          <w:szCs w:val="24"/>
          <w:rtl w:val="0"/>
        </w:rPr>
        <w:t xml:space="preserve">is associated with a vector of weights w. Compared to the more common recursive partitioning algorithms, the variable and cutpoints choices are made in two different steps and this allows to avoid the tendency to select variables with many possible splits.</w:t>
      </w:r>
      <w:r w:rsidDel="00000000" w:rsidR="00000000" w:rsidRPr="00000000">
        <w:rPr>
          <w:rFonts w:ascii="Times New Roman" w:cs="Times New Roman" w:eastAsia="Times New Roman" w:hAnsi="Times New Roman"/>
          <w:sz w:val="24"/>
          <w:szCs w:val="24"/>
          <w:vertAlign w:val="superscript"/>
          <w:rtl w:val="0"/>
        </w:rPr>
        <w:t xml:space="preserve">3</w:t>
      </w:r>
    </w:p>
    <w:p w:rsidR="00000000" w:rsidDel="00000000" w:rsidP="00000000" w:rsidRDefault="00000000" w:rsidRPr="00000000" w14:paraId="0000001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3</w:t>
      </w:r>
      <w:r w:rsidDel="00000000" w:rsidR="00000000" w:rsidRPr="00000000">
        <w:rPr>
          <w:rFonts w:ascii="Times New Roman" w:cs="Times New Roman" w:eastAsia="Times New Roman" w:hAnsi="Times New Roman"/>
          <w:b w:val="1"/>
          <w:sz w:val="24"/>
          <w:szCs w:val="24"/>
          <w:rtl w:val="0"/>
        </w:rPr>
        <w:t xml:space="preserve"> Results</w:t>
      </w:r>
      <w:r w:rsidDel="00000000" w:rsidR="00000000" w:rsidRPr="00000000">
        <w:rPr>
          <w:rtl w:val="0"/>
        </w:rPr>
      </w:r>
    </w:p>
    <w:p w:rsidR="00000000" w:rsidDel="00000000" w:rsidP="00000000" w:rsidRDefault="00000000" w:rsidRPr="00000000" w14:paraId="0000001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Logistic regressions</w:t>
      </w:r>
    </w:p>
    <w:p w:rsidR="00000000" w:rsidDel="00000000" w:rsidP="00000000" w:rsidRDefault="00000000" w:rsidRPr="00000000" w14:paraId="0000001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Multivariate logistic regression models were performed to assess association between different factors and the binary outcome variables Diseases on arrival (DoA) and Diseases after Arrival. These models were built in order to compare the tree algorithms with a more commonly used technique. The estimates shown in table 4 and table 5 are consistent with the trees results.</w:t>
      </w:r>
    </w:p>
    <w:p w:rsidR="00000000" w:rsidDel="00000000" w:rsidP="00000000" w:rsidRDefault="00000000" w:rsidRPr="00000000" w14:paraId="0000001D">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References</w:t>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https://www.unhcr.org/it/cosa-facciamo/protezione/diritto-asilo/</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italia/legislazione/</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48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http://www.vita.it/it/article/2020/10/06/superati-i-decreti-salvini-il\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-nuovo-testo-su-sicurezza-e-%20immigrazione/156889/</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48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https://www.zeileis.org/papers/Hothorn+Hornik+Zeileis-2006.pdf</w:t>
        </w:r>
      </w:hyperlink>
      <w:r w:rsidDel="00000000" w:rsidR="00000000" w:rsidRPr="00000000">
        <w:rPr>
          <w:rtl w:val="0"/>
        </w:rPr>
      </w:r>
    </w:p>
    <w:p w:rsidR="00000000" w:rsidDel="00000000" w:rsidP="00000000" w:rsidRDefault="00000000" w:rsidRPr="00000000" w14:paraId="00000021">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after="160" w:line="259" w:lineRule="auto"/>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Table 4.</w:t>
      </w:r>
      <w:r w:rsidDel="00000000" w:rsidR="00000000" w:rsidRPr="00000000">
        <w:rPr>
          <w:rFonts w:ascii="Calibri" w:cs="Calibri" w:eastAsia="Calibri" w:hAnsi="Calibri"/>
          <w:sz w:val="22"/>
          <w:szCs w:val="22"/>
          <w:rtl w:val="0"/>
        </w:rPr>
        <w:t xml:space="preserve"> Outcome: (at least) one disease on arrival</w:t>
      </w:r>
    </w:p>
    <w:tbl>
      <w:tblPr>
        <w:tblStyle w:val="Table1"/>
        <w:tblW w:w="900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800"/>
        <w:gridCol w:w="1800"/>
        <w:gridCol w:w="1800"/>
        <w:gridCol w:w="1800"/>
        <w:tblGridChange w:id="0">
          <w:tblGrid>
            <w:gridCol w:w="1800"/>
            <w:gridCol w:w="1800"/>
            <w:gridCol w:w="1800"/>
            <w:gridCol w:w="1800"/>
            <w:gridCol w:w="1800"/>
          </w:tblGrid>
        </w:tblGridChange>
      </w:tblGrid>
      <w:tr>
        <w:trPr>
          <w:cantSplit w:val="0"/>
          <w:trHeight w:val="570" w:hRule="atLeast"/>
          <w:tblHeader w:val="0"/>
        </w:trPr>
        <w:tc>
          <w:tcPr>
            <w:vAlign w:val="center"/>
          </w:tcPr>
          <w:p w:rsidR="00000000" w:rsidDel="00000000" w:rsidP="00000000" w:rsidRDefault="00000000" w:rsidRPr="00000000" w14:paraId="00000029">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Variable</w:t>
            </w:r>
          </w:p>
        </w:tc>
        <w:tc>
          <w:tcPr>
            <w:vAlign w:val="center"/>
          </w:tcPr>
          <w:p w:rsidR="00000000" w:rsidDel="00000000" w:rsidP="00000000" w:rsidRDefault="00000000" w:rsidRPr="00000000" w14:paraId="0000002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2B">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 estimate</w:t>
            </w:r>
          </w:p>
        </w:tc>
        <w:tc>
          <w:tcPr>
            <w:vAlign w:val="center"/>
          </w:tcPr>
          <w:p w:rsidR="00000000" w:rsidDel="00000000" w:rsidP="00000000" w:rsidRDefault="00000000" w:rsidRPr="00000000" w14:paraId="0000002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Lower 95% CL</w:t>
            </w:r>
          </w:p>
        </w:tc>
        <w:tc>
          <w:tcPr>
            <w:vAlign w:val="center"/>
          </w:tcPr>
          <w:p w:rsidR="00000000" w:rsidDel="00000000" w:rsidP="00000000" w:rsidRDefault="00000000" w:rsidRPr="00000000" w14:paraId="0000002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Upper 95% CL</w:t>
            </w:r>
          </w:p>
        </w:tc>
      </w:tr>
      <w:tr>
        <w:trPr>
          <w:cantSplit w:val="0"/>
          <w:trHeight w:val="570" w:hRule="atLeast"/>
          <w:tblHeader w:val="0"/>
        </w:trPr>
        <w:tc>
          <w:tcPr>
            <w:vAlign w:val="center"/>
          </w:tcPr>
          <w:p w:rsidR="00000000" w:rsidDel="00000000" w:rsidP="00000000" w:rsidRDefault="00000000" w:rsidRPr="00000000" w14:paraId="0000002E">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2F">
            <w:pPr>
              <w:spacing w:after="0" w:before="0" w:line="259" w:lineRule="auto"/>
              <w:ind w:left="0" w:right="0" w:firstLine="0"/>
              <w:jc w:val="left"/>
              <w:rPr/>
            </w:pPr>
            <w:r w:rsidDel="00000000" w:rsidR="00000000" w:rsidRPr="00000000">
              <w:rPr>
                <w:rFonts w:ascii="Calibri" w:cs="Calibri" w:eastAsia="Calibri" w:hAnsi="Calibri"/>
                <w:sz w:val="22"/>
                <w:szCs w:val="22"/>
                <w:rtl w:val="0"/>
              </w:rPr>
              <w:t xml:space="preserve">Categories</w:t>
            </w:r>
            <w:r w:rsidDel="00000000" w:rsidR="00000000" w:rsidRPr="00000000">
              <w:rPr>
                <w:rtl w:val="0"/>
              </w:rPr>
            </w:r>
          </w:p>
        </w:tc>
        <w:tc>
          <w:tcPr>
            <w:vAlign w:val="center"/>
          </w:tcPr>
          <w:p w:rsidR="00000000" w:rsidDel="00000000" w:rsidP="00000000" w:rsidRDefault="00000000" w:rsidRPr="00000000" w14:paraId="00000030">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1">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2">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3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Age (ref:18-24)</w:t>
            </w:r>
          </w:p>
        </w:tc>
        <w:tc>
          <w:tcPr>
            <w:vAlign w:val="center"/>
          </w:tcPr>
          <w:p w:rsidR="00000000" w:rsidDel="00000000" w:rsidP="00000000" w:rsidRDefault="00000000" w:rsidRPr="00000000" w14:paraId="0000003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25-34</w:t>
            </w:r>
          </w:p>
        </w:tc>
        <w:tc>
          <w:tcPr>
            <w:vAlign w:val="center"/>
          </w:tcPr>
          <w:p w:rsidR="00000000" w:rsidDel="00000000" w:rsidP="00000000" w:rsidRDefault="00000000" w:rsidRPr="00000000" w14:paraId="0000003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1.082</w:t>
            </w:r>
          </w:p>
        </w:tc>
        <w:tc>
          <w:tcPr>
            <w:vAlign w:val="center"/>
          </w:tcPr>
          <w:p w:rsidR="00000000" w:rsidDel="00000000" w:rsidP="00000000" w:rsidRDefault="00000000" w:rsidRPr="00000000" w14:paraId="00000036">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0.976</w:t>
            </w:r>
          </w:p>
        </w:tc>
        <w:tc>
          <w:tcPr>
            <w:vAlign w:val="center"/>
          </w:tcPr>
          <w:p w:rsidR="00000000" w:rsidDel="00000000" w:rsidP="00000000" w:rsidRDefault="00000000" w:rsidRPr="00000000" w14:paraId="00000037">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1.200</w:t>
            </w:r>
          </w:p>
        </w:tc>
      </w:tr>
      <w:tr>
        <w:trPr>
          <w:cantSplit w:val="0"/>
          <w:trHeight w:val="570" w:hRule="atLeast"/>
          <w:tblHeader w:val="0"/>
        </w:trPr>
        <w:tc>
          <w:tcPr>
            <w:vAlign w:val="center"/>
          </w:tcPr>
          <w:p w:rsidR="00000000" w:rsidDel="00000000" w:rsidP="00000000" w:rsidRDefault="00000000" w:rsidRPr="00000000" w14:paraId="00000038">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9">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35+</w:t>
            </w:r>
          </w:p>
        </w:tc>
        <w:tc>
          <w:tcPr>
            <w:vAlign w:val="center"/>
          </w:tcPr>
          <w:p w:rsidR="00000000" w:rsidDel="00000000" w:rsidP="00000000" w:rsidRDefault="00000000" w:rsidRPr="00000000" w14:paraId="0000003A">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1.106</w:t>
            </w:r>
          </w:p>
        </w:tc>
        <w:tc>
          <w:tcPr>
            <w:vAlign w:val="center"/>
          </w:tcPr>
          <w:p w:rsidR="00000000" w:rsidDel="00000000" w:rsidP="00000000" w:rsidRDefault="00000000" w:rsidRPr="00000000" w14:paraId="0000003B">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0.906</w:t>
            </w:r>
          </w:p>
        </w:tc>
        <w:tc>
          <w:tcPr>
            <w:vAlign w:val="center"/>
          </w:tcPr>
          <w:p w:rsidR="00000000" w:rsidDel="00000000" w:rsidP="00000000" w:rsidRDefault="00000000" w:rsidRPr="00000000" w14:paraId="0000003C">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1.349</w:t>
            </w:r>
          </w:p>
        </w:tc>
      </w:tr>
      <w:tr>
        <w:trPr>
          <w:cantSplit w:val="0"/>
          <w:trHeight w:val="570" w:hRule="atLeast"/>
          <w:tblHeader w:val="0"/>
        </w:trPr>
        <w:tc>
          <w:tcPr>
            <w:vAlign w:val="center"/>
          </w:tcPr>
          <w:p w:rsidR="00000000" w:rsidDel="00000000" w:rsidP="00000000" w:rsidRDefault="00000000" w:rsidRPr="00000000" w14:paraId="0000003D">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E">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F">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0">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1">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4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Sex (ref:Male)</w:t>
            </w:r>
          </w:p>
        </w:tc>
        <w:tc>
          <w:tcPr>
            <w:vAlign w:val="center"/>
          </w:tcPr>
          <w:p w:rsidR="00000000" w:rsidDel="00000000" w:rsidP="00000000" w:rsidRDefault="00000000" w:rsidRPr="00000000" w14:paraId="0000004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Female</w:t>
            </w:r>
          </w:p>
        </w:tc>
        <w:tc>
          <w:tcPr>
            <w:vAlign w:val="center"/>
          </w:tcPr>
          <w:p w:rsidR="00000000" w:rsidDel="00000000" w:rsidP="00000000" w:rsidRDefault="00000000" w:rsidRPr="00000000" w14:paraId="00000044">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0.910</w:t>
            </w:r>
          </w:p>
        </w:tc>
        <w:tc>
          <w:tcPr>
            <w:vAlign w:val="center"/>
          </w:tcPr>
          <w:p w:rsidR="00000000" w:rsidDel="00000000" w:rsidP="00000000" w:rsidRDefault="00000000" w:rsidRPr="00000000" w14:paraId="00000045">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0.805</w:t>
            </w:r>
          </w:p>
        </w:tc>
        <w:tc>
          <w:tcPr>
            <w:vAlign w:val="center"/>
          </w:tcPr>
          <w:p w:rsidR="00000000" w:rsidDel="00000000" w:rsidP="00000000" w:rsidRDefault="00000000" w:rsidRPr="00000000" w14:paraId="00000046">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1.029</w:t>
            </w:r>
          </w:p>
        </w:tc>
      </w:tr>
      <w:tr>
        <w:trPr>
          <w:cantSplit w:val="0"/>
          <w:trHeight w:val="570" w:hRule="atLeast"/>
          <w:tblHeader w:val="0"/>
        </w:trPr>
        <w:tc>
          <w:tcPr>
            <w:vAlign w:val="center"/>
          </w:tcPr>
          <w:p w:rsidR="00000000" w:rsidDel="00000000" w:rsidP="00000000" w:rsidRDefault="00000000" w:rsidRPr="00000000" w14:paraId="00000047">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8">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9">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4B">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4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Quarter (ref:Q3/16)</w:t>
            </w:r>
          </w:p>
        </w:tc>
        <w:tc>
          <w:tcPr>
            <w:vAlign w:val="center"/>
          </w:tcPr>
          <w:p w:rsidR="00000000" w:rsidDel="00000000" w:rsidP="00000000" w:rsidRDefault="00000000" w:rsidRPr="00000000" w14:paraId="0000004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Q4/16</w:t>
            </w:r>
          </w:p>
        </w:tc>
        <w:tc>
          <w:tcPr>
            <w:vAlign w:val="center"/>
          </w:tcPr>
          <w:p w:rsidR="00000000" w:rsidDel="00000000" w:rsidP="00000000" w:rsidRDefault="00000000" w:rsidRPr="00000000" w14:paraId="0000004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1.447</w:t>
            </w:r>
          </w:p>
        </w:tc>
        <w:tc>
          <w:tcPr>
            <w:vAlign w:val="center"/>
          </w:tcPr>
          <w:p w:rsidR="00000000" w:rsidDel="00000000" w:rsidP="00000000" w:rsidRDefault="00000000" w:rsidRPr="00000000" w14:paraId="0000004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1.265</w:t>
            </w:r>
          </w:p>
        </w:tc>
        <w:tc>
          <w:tcPr>
            <w:vAlign w:val="center"/>
          </w:tcPr>
          <w:p w:rsidR="00000000" w:rsidDel="00000000" w:rsidP="00000000" w:rsidRDefault="00000000" w:rsidRPr="00000000" w14:paraId="0000005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1.654</w:t>
            </w:r>
          </w:p>
        </w:tc>
      </w:tr>
      <w:tr>
        <w:trPr>
          <w:cantSplit w:val="0"/>
          <w:trHeight w:val="570" w:hRule="atLeast"/>
          <w:tblHeader w:val="0"/>
        </w:trPr>
        <w:tc>
          <w:tcPr>
            <w:vAlign w:val="center"/>
          </w:tcPr>
          <w:p w:rsidR="00000000" w:rsidDel="00000000" w:rsidP="00000000" w:rsidRDefault="00000000" w:rsidRPr="00000000" w14:paraId="00000051">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5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Q1/17</w:t>
            </w:r>
          </w:p>
        </w:tc>
        <w:tc>
          <w:tcPr>
            <w:vAlign w:val="center"/>
          </w:tcPr>
          <w:p w:rsidR="00000000" w:rsidDel="00000000" w:rsidP="00000000" w:rsidRDefault="00000000" w:rsidRPr="00000000" w14:paraId="0000005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0.847</w:t>
            </w:r>
          </w:p>
        </w:tc>
        <w:tc>
          <w:tcPr>
            <w:vAlign w:val="center"/>
          </w:tcPr>
          <w:p w:rsidR="00000000" w:rsidDel="00000000" w:rsidP="00000000" w:rsidRDefault="00000000" w:rsidRPr="00000000" w14:paraId="00000054">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0.698</w:t>
            </w:r>
          </w:p>
        </w:tc>
        <w:tc>
          <w:tcPr>
            <w:vAlign w:val="center"/>
          </w:tcPr>
          <w:p w:rsidR="00000000" w:rsidDel="00000000" w:rsidP="00000000" w:rsidRDefault="00000000" w:rsidRPr="00000000" w14:paraId="00000055">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1.028</w:t>
            </w:r>
          </w:p>
        </w:tc>
      </w:tr>
      <w:tr>
        <w:trPr>
          <w:cantSplit w:val="0"/>
          <w:trHeight w:val="570" w:hRule="atLeast"/>
          <w:tblHeader w:val="0"/>
        </w:trPr>
        <w:tc>
          <w:tcPr>
            <w:vAlign w:val="center"/>
          </w:tcPr>
          <w:p w:rsidR="00000000" w:rsidDel="00000000" w:rsidP="00000000" w:rsidRDefault="00000000" w:rsidRPr="00000000" w14:paraId="00000056">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5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Q2/17</w:t>
            </w:r>
          </w:p>
        </w:tc>
        <w:tc>
          <w:tcPr>
            <w:vAlign w:val="center"/>
          </w:tcPr>
          <w:p w:rsidR="00000000" w:rsidDel="00000000" w:rsidP="00000000" w:rsidRDefault="00000000" w:rsidRPr="00000000" w14:paraId="00000058">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0.966</w:t>
            </w:r>
          </w:p>
        </w:tc>
        <w:tc>
          <w:tcPr>
            <w:vAlign w:val="center"/>
          </w:tcPr>
          <w:p w:rsidR="00000000" w:rsidDel="00000000" w:rsidP="00000000" w:rsidRDefault="00000000" w:rsidRPr="00000000" w14:paraId="00000059">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0.802</w:t>
            </w:r>
          </w:p>
        </w:tc>
        <w:tc>
          <w:tcPr>
            <w:vAlign w:val="center"/>
          </w:tcPr>
          <w:p w:rsidR="00000000" w:rsidDel="00000000" w:rsidP="00000000" w:rsidRDefault="00000000" w:rsidRPr="00000000" w14:paraId="0000005A">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1.164</w:t>
            </w:r>
          </w:p>
        </w:tc>
      </w:tr>
      <w:tr>
        <w:trPr>
          <w:cantSplit w:val="0"/>
          <w:trHeight w:val="570" w:hRule="atLeast"/>
          <w:tblHeader w:val="0"/>
        </w:trPr>
        <w:tc>
          <w:tcPr>
            <w:vAlign w:val="center"/>
          </w:tcPr>
          <w:p w:rsidR="00000000" w:rsidDel="00000000" w:rsidP="00000000" w:rsidRDefault="00000000" w:rsidRPr="00000000" w14:paraId="0000005B">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5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Q3/17</w:t>
            </w:r>
          </w:p>
        </w:tc>
        <w:tc>
          <w:tcPr>
            <w:vAlign w:val="center"/>
          </w:tcPr>
          <w:p w:rsidR="00000000" w:rsidDel="00000000" w:rsidP="00000000" w:rsidRDefault="00000000" w:rsidRPr="00000000" w14:paraId="0000005D">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0.858</w:t>
            </w:r>
          </w:p>
        </w:tc>
        <w:tc>
          <w:tcPr>
            <w:vAlign w:val="center"/>
          </w:tcPr>
          <w:p w:rsidR="00000000" w:rsidDel="00000000" w:rsidP="00000000" w:rsidRDefault="00000000" w:rsidRPr="00000000" w14:paraId="0000005E">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0.713</w:t>
            </w:r>
          </w:p>
        </w:tc>
        <w:tc>
          <w:tcPr>
            <w:vAlign w:val="center"/>
          </w:tcPr>
          <w:p w:rsidR="00000000" w:rsidDel="00000000" w:rsidP="00000000" w:rsidRDefault="00000000" w:rsidRPr="00000000" w14:paraId="0000005F">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1.032</w:t>
            </w:r>
          </w:p>
        </w:tc>
      </w:tr>
      <w:tr>
        <w:trPr>
          <w:cantSplit w:val="0"/>
          <w:trHeight w:val="570" w:hRule="atLeast"/>
          <w:tblHeader w:val="0"/>
        </w:trPr>
        <w:tc>
          <w:tcPr>
            <w:vAlign w:val="center"/>
          </w:tcPr>
          <w:p w:rsidR="00000000" w:rsidDel="00000000" w:rsidP="00000000" w:rsidRDefault="00000000" w:rsidRPr="00000000" w14:paraId="00000060">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6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Q4/17</w:t>
            </w:r>
          </w:p>
        </w:tc>
        <w:tc>
          <w:tcPr>
            <w:vAlign w:val="center"/>
          </w:tcPr>
          <w:p w:rsidR="00000000" w:rsidDel="00000000" w:rsidP="00000000" w:rsidRDefault="00000000" w:rsidRPr="00000000" w14:paraId="00000062">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0.993</w:t>
            </w:r>
          </w:p>
        </w:tc>
        <w:tc>
          <w:tcPr>
            <w:vAlign w:val="center"/>
          </w:tcPr>
          <w:p w:rsidR="00000000" w:rsidDel="00000000" w:rsidP="00000000" w:rsidRDefault="00000000" w:rsidRPr="00000000" w14:paraId="00000063">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0.739</w:t>
            </w:r>
          </w:p>
        </w:tc>
        <w:tc>
          <w:tcPr>
            <w:vAlign w:val="center"/>
          </w:tcPr>
          <w:p w:rsidR="00000000" w:rsidDel="00000000" w:rsidP="00000000" w:rsidRDefault="00000000" w:rsidRPr="00000000" w14:paraId="00000064">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1.335</w:t>
            </w:r>
          </w:p>
        </w:tc>
      </w:tr>
      <w:tr>
        <w:trPr>
          <w:cantSplit w:val="0"/>
          <w:trHeight w:val="570" w:hRule="atLeast"/>
          <w:tblHeader w:val="0"/>
        </w:trPr>
        <w:tc>
          <w:tcPr>
            <w:vAlign w:val="center"/>
          </w:tcPr>
          <w:p w:rsidR="00000000" w:rsidDel="00000000" w:rsidP="00000000" w:rsidRDefault="00000000" w:rsidRPr="00000000" w14:paraId="00000065">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6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Q1/18</w:t>
            </w:r>
          </w:p>
        </w:tc>
        <w:tc>
          <w:tcPr>
            <w:vAlign w:val="center"/>
          </w:tcPr>
          <w:p w:rsidR="00000000" w:rsidDel="00000000" w:rsidP="00000000" w:rsidRDefault="00000000" w:rsidRPr="00000000" w14:paraId="00000067">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2.001</w:t>
            </w:r>
          </w:p>
        </w:tc>
        <w:tc>
          <w:tcPr>
            <w:vAlign w:val="center"/>
          </w:tcPr>
          <w:p w:rsidR="00000000" w:rsidDel="00000000" w:rsidP="00000000" w:rsidRDefault="00000000" w:rsidRPr="00000000" w14:paraId="00000068">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1.510</w:t>
            </w:r>
          </w:p>
        </w:tc>
        <w:tc>
          <w:tcPr>
            <w:vAlign w:val="center"/>
          </w:tcPr>
          <w:p w:rsidR="00000000" w:rsidDel="00000000" w:rsidP="00000000" w:rsidRDefault="00000000" w:rsidRPr="00000000" w14:paraId="00000069">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2.650</w:t>
            </w:r>
          </w:p>
        </w:tc>
      </w:tr>
      <w:tr>
        <w:trPr>
          <w:cantSplit w:val="0"/>
          <w:trHeight w:val="570" w:hRule="atLeast"/>
          <w:tblHeader w:val="0"/>
        </w:trPr>
        <w:tc>
          <w:tcPr>
            <w:vAlign w:val="center"/>
          </w:tcPr>
          <w:p w:rsidR="00000000" w:rsidDel="00000000" w:rsidP="00000000" w:rsidRDefault="00000000" w:rsidRPr="00000000" w14:paraId="0000006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6B">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Q2/18</w:t>
            </w:r>
          </w:p>
        </w:tc>
        <w:tc>
          <w:tcPr>
            <w:vAlign w:val="center"/>
          </w:tcPr>
          <w:p w:rsidR="00000000" w:rsidDel="00000000" w:rsidP="00000000" w:rsidRDefault="00000000" w:rsidRPr="00000000" w14:paraId="0000006C">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2.074</w:t>
            </w:r>
          </w:p>
        </w:tc>
        <w:tc>
          <w:tcPr>
            <w:vAlign w:val="center"/>
          </w:tcPr>
          <w:p w:rsidR="00000000" w:rsidDel="00000000" w:rsidP="00000000" w:rsidRDefault="00000000" w:rsidRPr="00000000" w14:paraId="0000006D">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1.486</w:t>
            </w:r>
          </w:p>
        </w:tc>
        <w:tc>
          <w:tcPr>
            <w:vAlign w:val="center"/>
          </w:tcPr>
          <w:p w:rsidR="00000000" w:rsidDel="00000000" w:rsidP="00000000" w:rsidRDefault="00000000" w:rsidRPr="00000000" w14:paraId="0000006E">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2.893</w:t>
            </w:r>
          </w:p>
        </w:tc>
      </w:tr>
      <w:tr>
        <w:trPr>
          <w:cantSplit w:val="0"/>
          <w:trHeight w:val="570" w:hRule="atLeast"/>
          <w:tblHeader w:val="0"/>
        </w:trPr>
        <w:tc>
          <w:tcPr>
            <w:vAlign w:val="center"/>
          </w:tcPr>
          <w:p w:rsidR="00000000" w:rsidDel="00000000" w:rsidP="00000000" w:rsidRDefault="00000000" w:rsidRPr="00000000" w14:paraId="0000006F">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0">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1">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2">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3">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7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Area of Origin (ref:SSA)</w:t>
            </w:r>
          </w:p>
        </w:tc>
        <w:tc>
          <w:tcPr>
            <w:vAlign w:val="center"/>
          </w:tcPr>
          <w:p w:rsidR="00000000" w:rsidDel="00000000" w:rsidP="00000000" w:rsidRDefault="00000000" w:rsidRPr="00000000" w14:paraId="0000007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CSA</w:t>
            </w:r>
          </w:p>
        </w:tc>
        <w:tc>
          <w:tcPr>
            <w:vAlign w:val="center"/>
          </w:tcPr>
          <w:p w:rsidR="00000000" w:rsidDel="00000000" w:rsidP="00000000" w:rsidRDefault="00000000" w:rsidRPr="00000000" w14:paraId="0000007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0.415</w:t>
            </w:r>
          </w:p>
        </w:tc>
        <w:tc>
          <w:tcPr>
            <w:vAlign w:val="center"/>
          </w:tcPr>
          <w:p w:rsidR="00000000" w:rsidDel="00000000" w:rsidP="00000000" w:rsidRDefault="00000000" w:rsidRPr="00000000" w14:paraId="0000007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0.188</w:t>
            </w:r>
          </w:p>
        </w:tc>
        <w:tc>
          <w:tcPr>
            <w:vAlign w:val="center"/>
          </w:tcPr>
          <w:p w:rsidR="00000000" w:rsidDel="00000000" w:rsidP="00000000" w:rsidRDefault="00000000" w:rsidRPr="00000000" w14:paraId="00000078">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0.916</w:t>
            </w:r>
          </w:p>
        </w:tc>
      </w:tr>
      <w:tr>
        <w:trPr>
          <w:cantSplit w:val="0"/>
          <w:trHeight w:val="570" w:hRule="atLeast"/>
          <w:tblHeader w:val="0"/>
        </w:trPr>
        <w:tc>
          <w:tcPr>
            <w:vAlign w:val="center"/>
          </w:tcPr>
          <w:p w:rsidR="00000000" w:rsidDel="00000000" w:rsidP="00000000" w:rsidRDefault="00000000" w:rsidRPr="00000000" w14:paraId="00000079">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A">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HOA</w:t>
            </w:r>
          </w:p>
        </w:tc>
        <w:tc>
          <w:tcPr>
            <w:vAlign w:val="center"/>
          </w:tcPr>
          <w:p w:rsidR="00000000" w:rsidDel="00000000" w:rsidP="00000000" w:rsidRDefault="00000000" w:rsidRPr="00000000" w14:paraId="0000007B">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1.486</w:t>
            </w:r>
          </w:p>
        </w:tc>
        <w:tc>
          <w:tcPr>
            <w:vAlign w:val="center"/>
          </w:tcPr>
          <w:p w:rsidR="00000000" w:rsidDel="00000000" w:rsidP="00000000" w:rsidRDefault="00000000" w:rsidRPr="00000000" w14:paraId="0000007C">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1.317</w:t>
            </w:r>
          </w:p>
        </w:tc>
        <w:tc>
          <w:tcPr>
            <w:vAlign w:val="center"/>
          </w:tcPr>
          <w:p w:rsidR="00000000" w:rsidDel="00000000" w:rsidP="00000000" w:rsidRDefault="00000000" w:rsidRPr="00000000" w14:paraId="0000007D">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1.676</w:t>
            </w:r>
          </w:p>
        </w:tc>
      </w:tr>
      <w:tr>
        <w:trPr>
          <w:cantSplit w:val="0"/>
          <w:trHeight w:val="570" w:hRule="atLeast"/>
          <w:tblHeader w:val="0"/>
        </w:trPr>
        <w:tc>
          <w:tcPr>
            <w:vAlign w:val="center"/>
          </w:tcPr>
          <w:p w:rsidR="00000000" w:rsidDel="00000000" w:rsidP="00000000" w:rsidRDefault="00000000" w:rsidRPr="00000000" w14:paraId="0000007E">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7F">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vAlign w:val="center"/>
          </w:tcPr>
          <w:p w:rsidR="00000000" w:rsidDel="00000000" w:rsidP="00000000" w:rsidRDefault="00000000" w:rsidRPr="00000000" w14:paraId="00000080">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0.493</w:t>
            </w:r>
          </w:p>
        </w:tc>
        <w:tc>
          <w:tcPr>
            <w:vAlign w:val="center"/>
          </w:tcPr>
          <w:p w:rsidR="00000000" w:rsidDel="00000000" w:rsidP="00000000" w:rsidRDefault="00000000" w:rsidRPr="00000000" w14:paraId="00000081">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0.312</w:t>
            </w:r>
          </w:p>
        </w:tc>
        <w:tc>
          <w:tcPr>
            <w:vAlign w:val="center"/>
          </w:tcPr>
          <w:p w:rsidR="00000000" w:rsidDel="00000000" w:rsidP="00000000" w:rsidRDefault="00000000" w:rsidRPr="00000000" w14:paraId="00000082">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0.779</w:t>
            </w:r>
          </w:p>
        </w:tc>
      </w:tr>
      <w:tr>
        <w:trPr>
          <w:cantSplit w:val="0"/>
          <w:trHeight w:val="570" w:hRule="atLeast"/>
          <w:tblHeader w:val="0"/>
        </w:trPr>
        <w:tc>
          <w:tcPr>
            <w:vAlign w:val="center"/>
          </w:tcPr>
          <w:p w:rsidR="00000000" w:rsidDel="00000000" w:rsidP="00000000" w:rsidRDefault="00000000" w:rsidRPr="00000000" w14:paraId="00000083">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8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Middle East</w:t>
            </w:r>
          </w:p>
        </w:tc>
        <w:tc>
          <w:tcPr>
            <w:vAlign w:val="center"/>
          </w:tcPr>
          <w:p w:rsidR="00000000" w:rsidDel="00000000" w:rsidP="00000000" w:rsidRDefault="00000000" w:rsidRPr="00000000" w14:paraId="00000085">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0.512</w:t>
            </w:r>
          </w:p>
        </w:tc>
        <w:tc>
          <w:tcPr>
            <w:vAlign w:val="center"/>
          </w:tcPr>
          <w:p w:rsidR="00000000" w:rsidDel="00000000" w:rsidP="00000000" w:rsidRDefault="00000000" w:rsidRPr="00000000" w14:paraId="0000008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0.396</w:t>
            </w:r>
          </w:p>
        </w:tc>
        <w:tc>
          <w:tcPr>
            <w:vAlign w:val="center"/>
          </w:tcPr>
          <w:p w:rsidR="00000000" w:rsidDel="00000000" w:rsidP="00000000" w:rsidRDefault="00000000" w:rsidRPr="00000000" w14:paraId="0000008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0.662</w:t>
            </w:r>
          </w:p>
        </w:tc>
      </w:tr>
      <w:tr>
        <w:trPr>
          <w:cantSplit w:val="0"/>
          <w:trHeight w:val="570" w:hRule="atLeast"/>
          <w:tblHeader w:val="0"/>
        </w:trPr>
        <w:tc>
          <w:tcPr>
            <w:vAlign w:val="center"/>
          </w:tcPr>
          <w:p w:rsidR="00000000" w:rsidDel="00000000" w:rsidP="00000000" w:rsidRDefault="00000000" w:rsidRPr="00000000" w14:paraId="00000088">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89">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East</w:t>
            </w:r>
          </w:p>
        </w:tc>
        <w:tc>
          <w:tcPr>
            <w:vAlign w:val="center"/>
          </w:tcPr>
          <w:p w:rsidR="00000000" w:rsidDel="00000000" w:rsidP="00000000" w:rsidRDefault="00000000" w:rsidRPr="00000000" w14:paraId="0000008A">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0.482</w:t>
            </w:r>
          </w:p>
        </w:tc>
        <w:tc>
          <w:tcPr>
            <w:vAlign w:val="center"/>
          </w:tcPr>
          <w:p w:rsidR="00000000" w:rsidDel="00000000" w:rsidP="00000000" w:rsidRDefault="00000000" w:rsidRPr="00000000" w14:paraId="0000008B">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0.333</w:t>
            </w:r>
          </w:p>
        </w:tc>
        <w:tc>
          <w:tcPr>
            <w:vAlign w:val="center"/>
          </w:tcPr>
          <w:p w:rsidR="00000000" w:rsidDel="00000000" w:rsidP="00000000" w:rsidRDefault="00000000" w:rsidRPr="00000000" w14:paraId="0000008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0.587</w:t>
            </w:r>
          </w:p>
        </w:tc>
      </w:tr>
    </w:tbl>
    <w:p w:rsidR="00000000" w:rsidDel="00000000" w:rsidP="00000000" w:rsidRDefault="00000000" w:rsidRPr="00000000" w14:paraId="0000008D">
      <w:pPr>
        <w:spacing w:after="160" w:line="259"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E">
      <w:pPr>
        <w:spacing w:after="160" w:line="259"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0">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1">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2">
      <w:pPr>
        <w:spacing w:after="160" w:line="259" w:lineRule="auto"/>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Table 5.</w:t>
      </w:r>
      <w:r w:rsidDel="00000000" w:rsidR="00000000" w:rsidRPr="00000000">
        <w:rPr>
          <w:rFonts w:ascii="Calibri" w:cs="Calibri" w:eastAsia="Calibri" w:hAnsi="Calibri"/>
          <w:sz w:val="22"/>
          <w:szCs w:val="22"/>
          <w:rtl w:val="0"/>
        </w:rPr>
        <w:t xml:space="preserve"> Outcome: (at least) one disease after arrival</w:t>
      </w:r>
    </w:p>
    <w:tbl>
      <w:tblPr>
        <w:tblStyle w:val="Table2"/>
        <w:tblW w:w="901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3"/>
        <w:gridCol w:w="1803"/>
        <w:gridCol w:w="1803"/>
        <w:gridCol w:w="1803"/>
        <w:gridCol w:w="1803"/>
        <w:tblGridChange w:id="0">
          <w:tblGrid>
            <w:gridCol w:w="1803"/>
            <w:gridCol w:w="1803"/>
            <w:gridCol w:w="1803"/>
            <w:gridCol w:w="1803"/>
            <w:gridCol w:w="1803"/>
          </w:tblGrid>
        </w:tblGridChange>
      </w:tblGrid>
      <w:tr>
        <w:trPr>
          <w:cantSplit w:val="0"/>
          <w:trHeight w:val="570" w:hRule="atLeast"/>
          <w:tblHeader w:val="0"/>
        </w:trPr>
        <w:tc>
          <w:tcPr>
            <w:vAlign w:val="center"/>
          </w:tcPr>
          <w:p w:rsidR="00000000" w:rsidDel="00000000" w:rsidP="00000000" w:rsidRDefault="00000000" w:rsidRPr="00000000" w14:paraId="0000009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Variable</w:t>
            </w:r>
          </w:p>
        </w:tc>
        <w:tc>
          <w:tcPr>
            <w:vAlign w:val="center"/>
          </w:tcPr>
          <w:p w:rsidR="00000000" w:rsidDel="00000000" w:rsidP="00000000" w:rsidRDefault="00000000" w:rsidRPr="00000000" w14:paraId="00000094">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9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 estimate</w:t>
            </w:r>
          </w:p>
        </w:tc>
        <w:tc>
          <w:tcPr>
            <w:vAlign w:val="center"/>
          </w:tcPr>
          <w:p w:rsidR="00000000" w:rsidDel="00000000" w:rsidP="00000000" w:rsidRDefault="00000000" w:rsidRPr="00000000" w14:paraId="0000009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Lower 95% CL</w:t>
            </w:r>
          </w:p>
        </w:tc>
        <w:tc>
          <w:tcPr>
            <w:vAlign w:val="center"/>
          </w:tcPr>
          <w:p w:rsidR="00000000" w:rsidDel="00000000" w:rsidP="00000000" w:rsidRDefault="00000000" w:rsidRPr="00000000" w14:paraId="0000009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Upper 95% CL</w:t>
            </w:r>
          </w:p>
        </w:tc>
      </w:tr>
      <w:tr>
        <w:trPr>
          <w:cantSplit w:val="0"/>
          <w:trHeight w:val="570" w:hRule="atLeast"/>
          <w:tblHeader w:val="0"/>
        </w:trPr>
        <w:tc>
          <w:tcPr>
            <w:vAlign w:val="center"/>
          </w:tcPr>
          <w:p w:rsidR="00000000" w:rsidDel="00000000" w:rsidP="00000000" w:rsidRDefault="00000000" w:rsidRPr="00000000" w14:paraId="00000098">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99">
            <w:pPr>
              <w:spacing w:after="0" w:before="0" w:line="259" w:lineRule="auto"/>
              <w:ind w:left="0" w:right="0" w:firstLine="0"/>
              <w:jc w:val="left"/>
              <w:rPr/>
            </w:pPr>
            <w:r w:rsidDel="00000000" w:rsidR="00000000" w:rsidRPr="00000000">
              <w:rPr>
                <w:rFonts w:ascii="Calibri" w:cs="Calibri" w:eastAsia="Calibri" w:hAnsi="Calibri"/>
                <w:sz w:val="22"/>
                <w:szCs w:val="22"/>
                <w:rtl w:val="0"/>
              </w:rPr>
              <w:t xml:space="preserve">Categories</w:t>
            </w:r>
            <w:r w:rsidDel="00000000" w:rsidR="00000000" w:rsidRPr="00000000">
              <w:rPr>
                <w:rtl w:val="0"/>
              </w:rPr>
            </w:r>
          </w:p>
        </w:tc>
        <w:tc>
          <w:tcPr>
            <w:vAlign w:val="center"/>
          </w:tcPr>
          <w:p w:rsidR="00000000" w:rsidDel="00000000" w:rsidP="00000000" w:rsidRDefault="00000000" w:rsidRPr="00000000" w14:paraId="0000009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9B">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9C">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9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Age (ref:18-24)</w:t>
            </w:r>
          </w:p>
        </w:tc>
        <w:tc>
          <w:tcPr>
            <w:vAlign w:val="center"/>
          </w:tcPr>
          <w:p w:rsidR="00000000" w:rsidDel="00000000" w:rsidP="00000000" w:rsidRDefault="00000000" w:rsidRPr="00000000" w14:paraId="0000009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25-34</w:t>
            </w:r>
          </w:p>
        </w:tc>
        <w:tc>
          <w:tcPr>
            <w:vAlign w:val="center"/>
          </w:tcPr>
          <w:p w:rsidR="00000000" w:rsidDel="00000000" w:rsidP="00000000" w:rsidRDefault="00000000" w:rsidRPr="00000000" w14:paraId="0000009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1.297</w:t>
            </w:r>
          </w:p>
        </w:tc>
        <w:tc>
          <w:tcPr>
            <w:vAlign w:val="center"/>
          </w:tcPr>
          <w:p w:rsidR="00000000" w:rsidDel="00000000" w:rsidP="00000000" w:rsidRDefault="00000000" w:rsidRPr="00000000" w14:paraId="000000A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1.144</w:t>
            </w:r>
          </w:p>
        </w:tc>
        <w:tc>
          <w:tcPr>
            <w:vAlign w:val="center"/>
          </w:tcPr>
          <w:p w:rsidR="00000000" w:rsidDel="00000000" w:rsidP="00000000" w:rsidRDefault="00000000" w:rsidRPr="00000000" w14:paraId="000000A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1.469</w:t>
            </w:r>
          </w:p>
        </w:tc>
      </w:tr>
      <w:tr>
        <w:trPr>
          <w:cantSplit w:val="0"/>
          <w:trHeight w:val="570" w:hRule="atLeast"/>
          <w:tblHeader w:val="0"/>
        </w:trPr>
        <w:tc>
          <w:tcPr>
            <w:vAlign w:val="center"/>
          </w:tcPr>
          <w:p w:rsidR="00000000" w:rsidDel="00000000" w:rsidP="00000000" w:rsidRDefault="00000000" w:rsidRPr="00000000" w14:paraId="000000A2">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A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35+</w:t>
            </w:r>
          </w:p>
        </w:tc>
        <w:tc>
          <w:tcPr>
            <w:vAlign w:val="center"/>
          </w:tcPr>
          <w:p w:rsidR="00000000" w:rsidDel="00000000" w:rsidP="00000000" w:rsidRDefault="00000000" w:rsidRPr="00000000" w14:paraId="000000A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1.485</w:t>
            </w:r>
          </w:p>
        </w:tc>
        <w:tc>
          <w:tcPr>
            <w:vAlign w:val="center"/>
          </w:tcPr>
          <w:p w:rsidR="00000000" w:rsidDel="00000000" w:rsidP="00000000" w:rsidRDefault="00000000" w:rsidRPr="00000000" w14:paraId="000000A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1.185</w:t>
            </w:r>
          </w:p>
        </w:tc>
        <w:tc>
          <w:tcPr>
            <w:vAlign w:val="center"/>
          </w:tcPr>
          <w:p w:rsidR="00000000" w:rsidDel="00000000" w:rsidP="00000000" w:rsidRDefault="00000000" w:rsidRPr="00000000" w14:paraId="000000A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1.859</w:t>
            </w:r>
          </w:p>
        </w:tc>
      </w:tr>
      <w:tr>
        <w:trPr>
          <w:cantSplit w:val="0"/>
          <w:trHeight w:val="570" w:hRule="atLeast"/>
          <w:tblHeader w:val="0"/>
        </w:trPr>
        <w:tc>
          <w:tcPr>
            <w:vAlign w:val="center"/>
          </w:tcPr>
          <w:p w:rsidR="00000000" w:rsidDel="00000000" w:rsidP="00000000" w:rsidRDefault="00000000" w:rsidRPr="00000000" w14:paraId="000000A7">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A8">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A9">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A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AB">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A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Sex (ref:Male)</w:t>
            </w:r>
          </w:p>
        </w:tc>
        <w:tc>
          <w:tcPr>
            <w:vAlign w:val="center"/>
          </w:tcPr>
          <w:p w:rsidR="00000000" w:rsidDel="00000000" w:rsidP="00000000" w:rsidRDefault="00000000" w:rsidRPr="00000000" w14:paraId="000000A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Female</w:t>
            </w:r>
          </w:p>
        </w:tc>
        <w:tc>
          <w:tcPr>
            <w:vAlign w:val="center"/>
          </w:tcPr>
          <w:p w:rsidR="00000000" w:rsidDel="00000000" w:rsidP="00000000" w:rsidRDefault="00000000" w:rsidRPr="00000000" w14:paraId="000000A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2.233</w:t>
            </w:r>
          </w:p>
        </w:tc>
        <w:tc>
          <w:tcPr>
            <w:vAlign w:val="center"/>
          </w:tcPr>
          <w:p w:rsidR="00000000" w:rsidDel="00000000" w:rsidP="00000000" w:rsidRDefault="00000000" w:rsidRPr="00000000" w14:paraId="000000A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1.937</w:t>
            </w:r>
          </w:p>
        </w:tc>
        <w:tc>
          <w:tcPr>
            <w:vAlign w:val="center"/>
          </w:tcPr>
          <w:p w:rsidR="00000000" w:rsidDel="00000000" w:rsidP="00000000" w:rsidRDefault="00000000" w:rsidRPr="00000000" w14:paraId="000000B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2.575</w:t>
            </w:r>
          </w:p>
        </w:tc>
      </w:tr>
      <w:tr>
        <w:trPr>
          <w:cantSplit w:val="0"/>
          <w:trHeight w:val="570" w:hRule="atLeast"/>
          <w:tblHeader w:val="0"/>
        </w:trPr>
        <w:tc>
          <w:tcPr>
            <w:vAlign w:val="center"/>
          </w:tcPr>
          <w:p w:rsidR="00000000" w:rsidDel="00000000" w:rsidP="00000000" w:rsidRDefault="00000000" w:rsidRPr="00000000" w14:paraId="000000B1">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B2">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B3">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B4">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B5">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B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Quarter (ref:Q3/16)</w:t>
            </w:r>
          </w:p>
        </w:tc>
        <w:tc>
          <w:tcPr>
            <w:vAlign w:val="center"/>
          </w:tcPr>
          <w:p w:rsidR="00000000" w:rsidDel="00000000" w:rsidP="00000000" w:rsidRDefault="00000000" w:rsidRPr="00000000" w14:paraId="000000B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Q4/16</w:t>
            </w:r>
          </w:p>
        </w:tc>
        <w:tc>
          <w:tcPr>
            <w:vAlign w:val="center"/>
          </w:tcPr>
          <w:p w:rsidR="00000000" w:rsidDel="00000000" w:rsidP="00000000" w:rsidRDefault="00000000" w:rsidRPr="00000000" w14:paraId="000000B8">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1.567</w:t>
            </w:r>
          </w:p>
        </w:tc>
        <w:tc>
          <w:tcPr>
            <w:vAlign w:val="center"/>
          </w:tcPr>
          <w:p w:rsidR="00000000" w:rsidDel="00000000" w:rsidP="00000000" w:rsidRDefault="00000000" w:rsidRPr="00000000" w14:paraId="000000B9">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1.215</w:t>
            </w:r>
          </w:p>
        </w:tc>
        <w:tc>
          <w:tcPr>
            <w:vAlign w:val="center"/>
          </w:tcPr>
          <w:p w:rsidR="00000000" w:rsidDel="00000000" w:rsidP="00000000" w:rsidRDefault="00000000" w:rsidRPr="00000000" w14:paraId="000000BA">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2.021</w:t>
            </w:r>
          </w:p>
        </w:tc>
      </w:tr>
      <w:tr>
        <w:trPr>
          <w:cantSplit w:val="0"/>
          <w:trHeight w:val="570" w:hRule="atLeast"/>
          <w:tblHeader w:val="0"/>
        </w:trPr>
        <w:tc>
          <w:tcPr>
            <w:vAlign w:val="center"/>
          </w:tcPr>
          <w:p w:rsidR="00000000" w:rsidDel="00000000" w:rsidP="00000000" w:rsidRDefault="00000000" w:rsidRPr="00000000" w14:paraId="000000BB">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B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Q1/17</w:t>
            </w:r>
          </w:p>
        </w:tc>
        <w:tc>
          <w:tcPr>
            <w:vAlign w:val="center"/>
          </w:tcPr>
          <w:p w:rsidR="00000000" w:rsidDel="00000000" w:rsidP="00000000" w:rsidRDefault="00000000" w:rsidRPr="00000000" w14:paraId="000000B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11.077</w:t>
            </w:r>
          </w:p>
        </w:tc>
        <w:tc>
          <w:tcPr>
            <w:vAlign w:val="center"/>
          </w:tcPr>
          <w:p w:rsidR="00000000" w:rsidDel="00000000" w:rsidP="00000000" w:rsidRDefault="00000000" w:rsidRPr="00000000" w14:paraId="000000B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8.549</w:t>
            </w:r>
          </w:p>
        </w:tc>
        <w:tc>
          <w:tcPr>
            <w:vAlign w:val="center"/>
          </w:tcPr>
          <w:p w:rsidR="00000000" w:rsidDel="00000000" w:rsidP="00000000" w:rsidRDefault="00000000" w:rsidRPr="00000000" w14:paraId="000000B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14.352</w:t>
            </w:r>
          </w:p>
        </w:tc>
      </w:tr>
      <w:tr>
        <w:trPr>
          <w:cantSplit w:val="0"/>
          <w:trHeight w:val="570" w:hRule="atLeast"/>
          <w:tblHeader w:val="0"/>
        </w:trPr>
        <w:tc>
          <w:tcPr>
            <w:vAlign w:val="center"/>
          </w:tcPr>
          <w:p w:rsidR="00000000" w:rsidDel="00000000" w:rsidP="00000000" w:rsidRDefault="00000000" w:rsidRPr="00000000" w14:paraId="000000C0">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C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Q2/17</w:t>
            </w:r>
          </w:p>
        </w:tc>
        <w:tc>
          <w:tcPr>
            <w:vAlign w:val="center"/>
          </w:tcPr>
          <w:p w:rsidR="00000000" w:rsidDel="00000000" w:rsidP="00000000" w:rsidRDefault="00000000" w:rsidRPr="00000000" w14:paraId="000000C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13.851</w:t>
            </w:r>
          </w:p>
        </w:tc>
        <w:tc>
          <w:tcPr>
            <w:vAlign w:val="center"/>
          </w:tcPr>
          <w:p w:rsidR="00000000" w:rsidDel="00000000" w:rsidP="00000000" w:rsidRDefault="00000000" w:rsidRPr="00000000" w14:paraId="000000C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10.713</w:t>
            </w:r>
          </w:p>
        </w:tc>
        <w:tc>
          <w:tcPr>
            <w:vAlign w:val="center"/>
          </w:tcPr>
          <w:p w:rsidR="00000000" w:rsidDel="00000000" w:rsidP="00000000" w:rsidRDefault="00000000" w:rsidRPr="00000000" w14:paraId="000000C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17.907</w:t>
            </w:r>
          </w:p>
        </w:tc>
      </w:tr>
      <w:tr>
        <w:trPr>
          <w:cantSplit w:val="0"/>
          <w:trHeight w:val="570" w:hRule="atLeast"/>
          <w:tblHeader w:val="0"/>
        </w:trPr>
        <w:tc>
          <w:tcPr>
            <w:vAlign w:val="center"/>
          </w:tcPr>
          <w:p w:rsidR="00000000" w:rsidDel="00000000" w:rsidP="00000000" w:rsidRDefault="00000000" w:rsidRPr="00000000" w14:paraId="000000C5">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C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Q3/17</w:t>
            </w:r>
          </w:p>
        </w:tc>
        <w:tc>
          <w:tcPr>
            <w:vAlign w:val="center"/>
          </w:tcPr>
          <w:p w:rsidR="00000000" w:rsidDel="00000000" w:rsidP="00000000" w:rsidRDefault="00000000" w:rsidRPr="00000000" w14:paraId="000000C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7.701</w:t>
            </w:r>
          </w:p>
        </w:tc>
        <w:tc>
          <w:tcPr>
            <w:vAlign w:val="center"/>
          </w:tcPr>
          <w:p w:rsidR="00000000" w:rsidDel="00000000" w:rsidP="00000000" w:rsidRDefault="00000000" w:rsidRPr="00000000" w14:paraId="000000C8">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5.943</w:t>
            </w:r>
          </w:p>
        </w:tc>
        <w:tc>
          <w:tcPr>
            <w:vAlign w:val="center"/>
          </w:tcPr>
          <w:p w:rsidR="00000000" w:rsidDel="00000000" w:rsidP="00000000" w:rsidRDefault="00000000" w:rsidRPr="00000000" w14:paraId="000000C9">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9.979</w:t>
            </w:r>
          </w:p>
        </w:tc>
      </w:tr>
      <w:tr>
        <w:trPr>
          <w:cantSplit w:val="0"/>
          <w:trHeight w:val="570" w:hRule="atLeast"/>
          <w:tblHeader w:val="0"/>
        </w:trPr>
        <w:tc>
          <w:tcPr>
            <w:vAlign w:val="center"/>
          </w:tcPr>
          <w:p w:rsidR="00000000" w:rsidDel="00000000" w:rsidP="00000000" w:rsidRDefault="00000000" w:rsidRPr="00000000" w14:paraId="000000C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CB">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Q4/17</w:t>
            </w:r>
          </w:p>
        </w:tc>
        <w:tc>
          <w:tcPr>
            <w:vAlign w:val="center"/>
          </w:tcPr>
          <w:p w:rsidR="00000000" w:rsidDel="00000000" w:rsidP="00000000" w:rsidRDefault="00000000" w:rsidRPr="00000000" w14:paraId="000000C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9.766</w:t>
            </w:r>
          </w:p>
        </w:tc>
        <w:tc>
          <w:tcPr>
            <w:vAlign w:val="center"/>
          </w:tcPr>
          <w:p w:rsidR="00000000" w:rsidDel="00000000" w:rsidP="00000000" w:rsidRDefault="00000000" w:rsidRPr="00000000" w14:paraId="000000C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7.053</w:t>
            </w:r>
          </w:p>
        </w:tc>
        <w:tc>
          <w:tcPr>
            <w:vAlign w:val="center"/>
          </w:tcPr>
          <w:p w:rsidR="00000000" w:rsidDel="00000000" w:rsidP="00000000" w:rsidRDefault="00000000" w:rsidRPr="00000000" w14:paraId="000000C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13.515</w:t>
            </w:r>
          </w:p>
        </w:tc>
      </w:tr>
      <w:tr>
        <w:trPr>
          <w:cantSplit w:val="0"/>
          <w:trHeight w:val="570" w:hRule="atLeast"/>
          <w:tblHeader w:val="0"/>
        </w:trPr>
        <w:tc>
          <w:tcPr>
            <w:vAlign w:val="center"/>
          </w:tcPr>
          <w:p w:rsidR="00000000" w:rsidDel="00000000" w:rsidP="00000000" w:rsidRDefault="00000000" w:rsidRPr="00000000" w14:paraId="000000CF">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Q1/18</w:t>
            </w:r>
          </w:p>
        </w:tc>
        <w:tc>
          <w:tcPr>
            <w:vAlign w:val="center"/>
          </w:tcPr>
          <w:p w:rsidR="00000000" w:rsidDel="00000000" w:rsidP="00000000" w:rsidRDefault="00000000" w:rsidRPr="00000000" w14:paraId="000000D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3.711</w:t>
            </w:r>
          </w:p>
        </w:tc>
        <w:tc>
          <w:tcPr>
            <w:vAlign w:val="center"/>
          </w:tcPr>
          <w:p w:rsidR="00000000" w:rsidDel="00000000" w:rsidP="00000000" w:rsidRDefault="00000000" w:rsidRPr="00000000" w14:paraId="000000D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2.468</w:t>
            </w:r>
          </w:p>
        </w:tc>
        <w:tc>
          <w:tcPr>
            <w:vAlign w:val="center"/>
          </w:tcPr>
          <w:p w:rsidR="00000000" w:rsidDel="00000000" w:rsidP="00000000" w:rsidRDefault="00000000" w:rsidRPr="00000000" w14:paraId="000000D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5.580</w:t>
            </w:r>
          </w:p>
        </w:tc>
      </w:tr>
      <w:tr>
        <w:trPr>
          <w:cantSplit w:val="0"/>
          <w:trHeight w:val="570" w:hRule="atLeast"/>
          <w:tblHeader w:val="0"/>
        </w:trPr>
        <w:tc>
          <w:tcPr>
            <w:vAlign w:val="center"/>
          </w:tcPr>
          <w:p w:rsidR="00000000" w:rsidDel="00000000" w:rsidP="00000000" w:rsidRDefault="00000000" w:rsidRPr="00000000" w14:paraId="000000D4">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Q2/18</w:t>
            </w:r>
          </w:p>
        </w:tc>
        <w:tc>
          <w:tcPr>
            <w:vAlign w:val="center"/>
          </w:tcPr>
          <w:p w:rsidR="00000000" w:rsidDel="00000000" w:rsidP="00000000" w:rsidRDefault="00000000" w:rsidRPr="00000000" w14:paraId="000000D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7.268</w:t>
            </w:r>
          </w:p>
        </w:tc>
        <w:tc>
          <w:tcPr>
            <w:vAlign w:val="center"/>
          </w:tcPr>
          <w:p w:rsidR="00000000" w:rsidDel="00000000" w:rsidP="00000000" w:rsidRDefault="00000000" w:rsidRPr="00000000" w14:paraId="000000D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4.744</w:t>
            </w:r>
          </w:p>
        </w:tc>
        <w:tc>
          <w:tcPr>
            <w:vAlign w:val="center"/>
          </w:tcPr>
          <w:p w:rsidR="00000000" w:rsidDel="00000000" w:rsidP="00000000" w:rsidRDefault="00000000" w:rsidRPr="00000000" w14:paraId="000000D8">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11.135</w:t>
            </w:r>
          </w:p>
        </w:tc>
      </w:tr>
      <w:tr>
        <w:trPr>
          <w:cantSplit w:val="0"/>
          <w:trHeight w:val="570" w:hRule="atLeast"/>
          <w:tblHeader w:val="0"/>
        </w:trPr>
        <w:tc>
          <w:tcPr>
            <w:vAlign w:val="center"/>
          </w:tcPr>
          <w:p w:rsidR="00000000" w:rsidDel="00000000" w:rsidP="00000000" w:rsidRDefault="00000000" w:rsidRPr="00000000" w14:paraId="000000D9">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A">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B">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C">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DD">
            <w:pPr>
              <w:spacing w:line="259" w:lineRule="auto"/>
              <w:rPr>
                <w:rFonts w:ascii="Calibri" w:cs="Calibri" w:eastAsia="Calibri" w:hAnsi="Calibri"/>
                <w:sz w:val="22"/>
                <w:szCs w:val="22"/>
              </w:rPr>
            </w:pPr>
            <w:r w:rsidDel="00000000" w:rsidR="00000000" w:rsidRPr="00000000">
              <w:rPr>
                <w:rtl w:val="0"/>
              </w:rPr>
            </w:r>
          </w:p>
        </w:tc>
      </w:tr>
      <w:tr>
        <w:trPr>
          <w:cantSplit w:val="0"/>
          <w:trHeight w:val="570" w:hRule="atLeast"/>
          <w:tblHeader w:val="0"/>
        </w:trPr>
        <w:tc>
          <w:tcPr>
            <w:vAlign w:val="center"/>
          </w:tcPr>
          <w:p w:rsidR="00000000" w:rsidDel="00000000" w:rsidP="00000000" w:rsidRDefault="00000000" w:rsidRPr="00000000" w14:paraId="000000DE">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Area of Origin </w:t>
            </w:r>
          </w:p>
          <w:p w:rsidR="00000000" w:rsidDel="00000000" w:rsidP="00000000" w:rsidRDefault="00000000" w:rsidRPr="00000000" w14:paraId="000000D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(ref:SSA)</w:t>
            </w:r>
          </w:p>
        </w:tc>
        <w:tc>
          <w:tcPr>
            <w:vAlign w:val="center"/>
          </w:tcPr>
          <w:p w:rsidR="00000000" w:rsidDel="00000000" w:rsidP="00000000" w:rsidRDefault="00000000" w:rsidRPr="00000000" w14:paraId="000000E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CSA</w:t>
            </w:r>
          </w:p>
        </w:tc>
        <w:tc>
          <w:tcPr>
            <w:vAlign w:val="center"/>
          </w:tcPr>
          <w:p w:rsidR="00000000" w:rsidDel="00000000" w:rsidP="00000000" w:rsidRDefault="00000000" w:rsidRPr="00000000" w14:paraId="000000E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0.369</w:t>
            </w:r>
          </w:p>
        </w:tc>
        <w:tc>
          <w:tcPr>
            <w:vAlign w:val="center"/>
          </w:tcPr>
          <w:p w:rsidR="00000000" w:rsidDel="00000000" w:rsidP="00000000" w:rsidRDefault="00000000" w:rsidRPr="00000000" w14:paraId="000000E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0.167</w:t>
            </w:r>
          </w:p>
        </w:tc>
        <w:tc>
          <w:tcPr>
            <w:vAlign w:val="center"/>
          </w:tcPr>
          <w:p w:rsidR="00000000" w:rsidDel="00000000" w:rsidP="00000000" w:rsidRDefault="00000000" w:rsidRPr="00000000" w14:paraId="000000E3">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0.816</w:t>
            </w:r>
          </w:p>
        </w:tc>
      </w:tr>
      <w:tr>
        <w:trPr>
          <w:cantSplit w:val="0"/>
          <w:trHeight w:val="570" w:hRule="atLeast"/>
          <w:tblHeader w:val="0"/>
        </w:trPr>
        <w:tc>
          <w:tcPr>
            <w:vAlign w:val="center"/>
          </w:tcPr>
          <w:p w:rsidR="00000000" w:rsidDel="00000000" w:rsidP="00000000" w:rsidRDefault="00000000" w:rsidRPr="00000000" w14:paraId="000000E4">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E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HOA</w:t>
            </w:r>
          </w:p>
        </w:tc>
        <w:tc>
          <w:tcPr>
            <w:vAlign w:val="center"/>
          </w:tcPr>
          <w:p w:rsidR="00000000" w:rsidDel="00000000" w:rsidP="00000000" w:rsidRDefault="00000000" w:rsidRPr="00000000" w14:paraId="000000E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0.602</w:t>
            </w:r>
          </w:p>
        </w:tc>
        <w:tc>
          <w:tcPr>
            <w:vAlign w:val="center"/>
          </w:tcPr>
          <w:p w:rsidR="00000000" w:rsidDel="00000000" w:rsidP="00000000" w:rsidRDefault="00000000" w:rsidRPr="00000000" w14:paraId="000000E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0.501</w:t>
            </w:r>
          </w:p>
        </w:tc>
        <w:tc>
          <w:tcPr>
            <w:vAlign w:val="center"/>
          </w:tcPr>
          <w:p w:rsidR="00000000" w:rsidDel="00000000" w:rsidP="00000000" w:rsidRDefault="00000000" w:rsidRPr="00000000" w14:paraId="000000E8">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0.725</w:t>
            </w:r>
          </w:p>
        </w:tc>
      </w:tr>
      <w:tr>
        <w:trPr>
          <w:cantSplit w:val="0"/>
          <w:trHeight w:val="570" w:hRule="atLeast"/>
          <w:tblHeader w:val="0"/>
        </w:trPr>
        <w:tc>
          <w:tcPr>
            <w:vAlign w:val="center"/>
          </w:tcPr>
          <w:p w:rsidR="00000000" w:rsidDel="00000000" w:rsidP="00000000" w:rsidRDefault="00000000" w:rsidRPr="00000000" w14:paraId="000000E9">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EA">
            <w:pPr>
              <w:spacing w:line="259" w:lineRule="auto"/>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vAlign w:val="center"/>
          </w:tcPr>
          <w:p w:rsidR="00000000" w:rsidDel="00000000" w:rsidP="00000000" w:rsidRDefault="00000000" w:rsidRPr="00000000" w14:paraId="000000EB">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0.400</w:t>
            </w:r>
          </w:p>
        </w:tc>
        <w:tc>
          <w:tcPr>
            <w:vAlign w:val="center"/>
          </w:tcPr>
          <w:p w:rsidR="00000000" w:rsidDel="00000000" w:rsidP="00000000" w:rsidRDefault="00000000" w:rsidRPr="00000000" w14:paraId="000000EC">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0.260</w:t>
            </w:r>
          </w:p>
        </w:tc>
        <w:tc>
          <w:tcPr>
            <w:vAlign w:val="center"/>
          </w:tcPr>
          <w:p w:rsidR="00000000" w:rsidDel="00000000" w:rsidP="00000000" w:rsidRDefault="00000000" w:rsidRPr="00000000" w14:paraId="000000ED">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0.615</w:t>
            </w:r>
          </w:p>
        </w:tc>
      </w:tr>
      <w:tr>
        <w:trPr>
          <w:cantSplit w:val="0"/>
          <w:trHeight w:val="570" w:hRule="atLeast"/>
          <w:tblHeader w:val="0"/>
        </w:trPr>
        <w:tc>
          <w:tcPr>
            <w:vAlign w:val="center"/>
          </w:tcPr>
          <w:p w:rsidR="00000000" w:rsidDel="00000000" w:rsidP="00000000" w:rsidRDefault="00000000" w:rsidRPr="00000000" w14:paraId="000000EE">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EF">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Middle East</w:t>
            </w:r>
          </w:p>
        </w:tc>
        <w:tc>
          <w:tcPr>
            <w:vAlign w:val="center"/>
          </w:tcPr>
          <w:p w:rsidR="00000000" w:rsidDel="00000000" w:rsidP="00000000" w:rsidRDefault="00000000" w:rsidRPr="00000000" w14:paraId="000000F0">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0.685</w:t>
            </w:r>
          </w:p>
        </w:tc>
        <w:tc>
          <w:tcPr>
            <w:vAlign w:val="center"/>
          </w:tcPr>
          <w:p w:rsidR="00000000" w:rsidDel="00000000" w:rsidP="00000000" w:rsidRDefault="00000000" w:rsidRPr="00000000" w14:paraId="000000F1">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0.537</w:t>
            </w:r>
          </w:p>
        </w:tc>
        <w:tc>
          <w:tcPr>
            <w:vAlign w:val="center"/>
          </w:tcPr>
          <w:p w:rsidR="00000000" w:rsidDel="00000000" w:rsidP="00000000" w:rsidRDefault="00000000" w:rsidRPr="00000000" w14:paraId="000000F2">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0.615</w:t>
            </w:r>
          </w:p>
        </w:tc>
      </w:tr>
      <w:tr>
        <w:trPr>
          <w:cantSplit w:val="0"/>
          <w:trHeight w:val="570" w:hRule="atLeast"/>
          <w:tblHeader w:val="0"/>
        </w:trPr>
        <w:tc>
          <w:tcPr>
            <w:vAlign w:val="center"/>
          </w:tcPr>
          <w:p w:rsidR="00000000" w:rsidDel="00000000" w:rsidP="00000000" w:rsidRDefault="00000000" w:rsidRPr="00000000" w14:paraId="000000F3">
            <w:pPr>
              <w:spacing w:line="259" w:lineRule="auto"/>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F4">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East</w:t>
            </w:r>
          </w:p>
        </w:tc>
        <w:tc>
          <w:tcPr>
            <w:vAlign w:val="center"/>
          </w:tcPr>
          <w:p w:rsidR="00000000" w:rsidDel="00000000" w:rsidP="00000000" w:rsidRDefault="00000000" w:rsidRPr="00000000" w14:paraId="000000F5">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0.678</w:t>
            </w:r>
          </w:p>
        </w:tc>
        <w:tc>
          <w:tcPr>
            <w:vAlign w:val="center"/>
          </w:tcPr>
          <w:p w:rsidR="00000000" w:rsidDel="00000000" w:rsidP="00000000" w:rsidRDefault="00000000" w:rsidRPr="00000000" w14:paraId="000000F6">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0.499</w:t>
            </w:r>
          </w:p>
        </w:tc>
        <w:tc>
          <w:tcPr>
            <w:vAlign w:val="center"/>
          </w:tcPr>
          <w:p w:rsidR="00000000" w:rsidDel="00000000" w:rsidP="00000000" w:rsidRDefault="00000000" w:rsidRPr="00000000" w14:paraId="000000F7">
            <w:pPr>
              <w:spacing w:line="259"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0.921</w:t>
            </w:r>
          </w:p>
        </w:tc>
      </w:tr>
    </w:tbl>
    <w:p w:rsidR="00000000" w:rsidDel="00000000" w:rsidP="00000000" w:rsidRDefault="00000000" w:rsidRPr="00000000" w14:paraId="000000F8">
      <w:pPr>
        <w:spacing w:after="160" w:line="259"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F9">
      <w:pPr>
        <w:spacing w:line="480" w:lineRule="auto"/>
        <w:jc w:val="left"/>
        <w:rPr>
          <w:rFonts w:ascii="Times New Roman" w:cs="Times New Roman" w:eastAsia="Times New Roman" w:hAnsi="Times New Roman"/>
          <w:b w:val="1"/>
          <w:sz w:val="24"/>
          <w:szCs w:val="24"/>
        </w:rPr>
      </w:pPr>
      <w:r w:rsidDel="00000000" w:rsidR="00000000" w:rsidRPr="00000000">
        <w:rPr>
          <w:rtl w:val="0"/>
        </w:rPr>
      </w:r>
    </w:p>
    <w:sectPr>
      <w:headerReference r:id="rId10"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pPr>
      <w:ind w:left="720"/>
      <w:contextualSpacing w:val="1"/>
    </w:pPr>
  </w:style>
  <w:style w:type="character" w:styleId="Hyperlink">
    <w:name w:val="Hyperlink"/>
    <w:basedOn w:val="DefaultParagraphFont"/>
    <w:uiPriority w:val="99"/>
    <w:unhideWhenUsed w:val="1"/>
    <w:rPr>
      <w:color w:val="0563c1" w:themeColor="hyperlink"/>
      <w:u w:val="single"/>
    </w:rPr>
  </w:style>
  <w:style w:type="table" w:styleId="TableGrid">
    <w:name w:val="Table Grid"/>
    <w:basedOn w:val="TableNormal"/>
    <w:uiPriority w:val="59"/>
    <w:rsid w:val="00FB4123"/>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www.zeileis.org/papers/Hothorn+Hornik+Zeileis-2006.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unhcr.org/it/cosa-facciamo/protezione/diritto-asilo/" TargetMode="External"/><Relationship Id="rId8" Type="http://schemas.openxmlformats.org/officeDocument/2006/relationships/hyperlink" Target="http://www.vita.it/it/article/2020/10/06/superati-i-decreti-salvini-il%5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5Ec/R01QUI8petSwJTORCV8qOQ==">AMUW2mXTsFQusCOpnsX7TrfzBfzNG5LH48N3p1X9/ggiZ8hD+dejXMyH/tQnU2YkyIyXNHPu5m3eDSE4cywQCMM8LIV1mUFuSO9L3WUn4tUFu4f88MH4I3kuj3FRkW5b1QM3Z1nuCDH+9A5SUHcdJsMrgN0qG18+pFNrmG8t1BNpP8eh7pJyjY12G+nj/B1ezxeldnSRj8aLtxB50ulrV+atrv/HQQUJXX/FiNKsCp/tRPYayI9M0WiyBALV/pN/ljoWYxq5F0XqLePYg7tCptveSqG7kY6Rfi60asgGObzXhG6Wrs1IW/z+JbI4uRwZ9RTYsHvBibAnjzO49B3oaEj+0RpZY+FX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2021-08-26T13:48:07.1202317Z</dcterms:created>
  <dc:creator>Luca Manfredi</dc:creator>
</cp:coreProperties>
</file>