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95E837" w14:textId="36AB6F0C" w:rsidR="00D037EB" w:rsidRPr="00D037EB" w:rsidRDefault="00DD0ABA" w:rsidP="009944BD">
      <w:pPr>
        <w:widowControl w:val="0"/>
        <w:rPr>
          <w:lang w:val="en-AU"/>
        </w:rPr>
      </w:pPr>
      <w:r>
        <w:rPr>
          <w:rFonts w:ascii="Times New Roman" w:eastAsia="Times New Roman" w:hAnsi="Times New Roman"/>
          <w:b/>
          <w:sz w:val="22"/>
          <w:lang w:val="en-AU"/>
        </w:rPr>
        <w:t xml:space="preserve">Additional file </w:t>
      </w:r>
      <w:r w:rsidR="00527170">
        <w:rPr>
          <w:rFonts w:ascii="Times New Roman" w:eastAsia="Times New Roman" w:hAnsi="Times New Roman"/>
          <w:b/>
          <w:sz w:val="22"/>
          <w:lang w:val="en-AU"/>
        </w:rPr>
        <w:t>5</w:t>
      </w:r>
    </w:p>
    <w:p w14:paraId="76FA595F" w14:textId="24A351B9" w:rsidR="00D037EB" w:rsidRPr="00D037EB" w:rsidRDefault="00A21250" w:rsidP="009944BD">
      <w:pPr>
        <w:widowControl w:val="0"/>
        <w:rPr>
          <w:lang w:val="en-AU"/>
        </w:rPr>
      </w:pPr>
      <w:r>
        <w:rPr>
          <w:rFonts w:ascii="Times New Roman" w:eastAsia="Times New Roman" w:hAnsi="Times New Roman"/>
          <w:i/>
          <w:sz w:val="22"/>
          <w:lang w:val="en-AU"/>
        </w:rPr>
        <w:t xml:space="preserve">Detailed description and explanation </w:t>
      </w:r>
      <w:r w:rsidR="00D037EB" w:rsidRPr="00D037EB">
        <w:rPr>
          <w:rFonts w:ascii="Times New Roman" w:eastAsia="Times New Roman" w:hAnsi="Times New Roman"/>
          <w:i/>
          <w:sz w:val="22"/>
          <w:lang w:val="en-AU"/>
        </w:rPr>
        <w:t xml:space="preserve">of model patterns under </w:t>
      </w:r>
      <w:r w:rsidR="007033EF">
        <w:rPr>
          <w:rFonts w:ascii="Times New Roman" w:eastAsia="Times New Roman" w:hAnsi="Times New Roman"/>
          <w:i/>
          <w:sz w:val="22"/>
          <w:lang w:val="en-AU"/>
        </w:rPr>
        <w:t xml:space="preserve">business-as-usual </w:t>
      </w:r>
      <w:r w:rsidR="00D037EB" w:rsidRPr="00D037EB">
        <w:rPr>
          <w:rFonts w:ascii="Times New Roman" w:eastAsia="Times New Roman" w:hAnsi="Times New Roman"/>
          <w:i/>
          <w:sz w:val="22"/>
          <w:lang w:val="en-AU"/>
        </w:rPr>
        <w:t>and</w:t>
      </w:r>
      <w:r w:rsidR="00554737">
        <w:rPr>
          <w:rFonts w:ascii="Times New Roman" w:eastAsia="Times New Roman" w:hAnsi="Times New Roman"/>
          <w:i/>
          <w:sz w:val="22"/>
          <w:lang w:val="en-AU"/>
        </w:rPr>
        <w:t xml:space="preserve"> modelled</w:t>
      </w:r>
      <w:r w:rsidR="00D037EB" w:rsidRPr="00D037EB">
        <w:rPr>
          <w:rFonts w:ascii="Times New Roman" w:eastAsia="Times New Roman" w:hAnsi="Times New Roman"/>
          <w:i/>
          <w:sz w:val="22"/>
          <w:lang w:val="en-AU"/>
        </w:rPr>
        <w:t xml:space="preserve"> scenarios</w:t>
      </w:r>
    </w:p>
    <w:tbl>
      <w:tblPr>
        <w:tblStyle w:val="TableGrid"/>
        <w:tblW w:w="12960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00"/>
        <w:gridCol w:w="2615"/>
        <w:gridCol w:w="2615"/>
        <w:gridCol w:w="2615"/>
        <w:gridCol w:w="2615"/>
      </w:tblGrid>
      <w:tr w:rsidR="00D037EB" w:rsidRPr="00D037EB" w14:paraId="702CD281" w14:textId="77777777" w:rsidTr="00557389">
        <w:tc>
          <w:tcPr>
            <w:tcW w:w="2500" w:type="dxa"/>
            <w:tcMar>
              <w:left w:w="70" w:type="dxa"/>
              <w:right w:w="70" w:type="dxa"/>
            </w:tcMar>
          </w:tcPr>
          <w:p w14:paraId="7D439814" w14:textId="77777777" w:rsidR="00D037EB" w:rsidRPr="00D037EB" w:rsidRDefault="00D037EB" w:rsidP="009944BD">
            <w:pPr>
              <w:widowControl w:val="0"/>
              <w:rPr>
                <w:lang w:val="en-AU"/>
              </w:rPr>
            </w:pPr>
            <w:r w:rsidRPr="00D037EB">
              <w:rPr>
                <w:rFonts w:ascii="Times New Roman" w:eastAsia="Times New Roman" w:hAnsi="Times New Roman"/>
                <w:b/>
                <w:sz w:val="20"/>
                <w:lang w:val="en-AU"/>
              </w:rPr>
              <w:t>Indicator</w:t>
            </w:r>
          </w:p>
        </w:tc>
        <w:tc>
          <w:tcPr>
            <w:tcW w:w="2615" w:type="dxa"/>
            <w:tcMar>
              <w:left w:w="70" w:type="dxa"/>
              <w:right w:w="70" w:type="dxa"/>
            </w:tcMar>
          </w:tcPr>
          <w:p w14:paraId="252E4029" w14:textId="4D000522" w:rsidR="00D037EB" w:rsidRPr="00D037EB" w:rsidRDefault="00D037EB" w:rsidP="009944BD">
            <w:pPr>
              <w:widowControl w:val="0"/>
              <w:rPr>
                <w:lang w:val="en-AU"/>
              </w:rPr>
            </w:pPr>
            <w:r w:rsidRPr="00D037EB">
              <w:rPr>
                <w:rFonts w:ascii="Times New Roman" w:eastAsia="Times New Roman" w:hAnsi="Times New Roman"/>
                <w:b/>
                <w:sz w:val="20"/>
                <w:lang w:val="en-AU"/>
              </w:rPr>
              <w:t>Business</w:t>
            </w:r>
            <w:r w:rsidR="002323A6">
              <w:rPr>
                <w:rFonts w:ascii="Times New Roman" w:eastAsia="Times New Roman" w:hAnsi="Times New Roman"/>
                <w:b/>
                <w:sz w:val="20"/>
                <w:lang w:val="en-AU"/>
              </w:rPr>
              <w:t>-</w:t>
            </w:r>
            <w:r w:rsidRPr="00D037EB">
              <w:rPr>
                <w:rFonts w:ascii="Times New Roman" w:eastAsia="Times New Roman" w:hAnsi="Times New Roman"/>
                <w:b/>
                <w:sz w:val="20"/>
                <w:lang w:val="en-AU"/>
              </w:rPr>
              <w:t>as</w:t>
            </w:r>
            <w:r w:rsidR="002323A6">
              <w:rPr>
                <w:rFonts w:ascii="Times New Roman" w:eastAsia="Times New Roman" w:hAnsi="Times New Roman"/>
                <w:b/>
                <w:sz w:val="20"/>
                <w:lang w:val="en-AU"/>
              </w:rPr>
              <w:t>-</w:t>
            </w:r>
            <w:r w:rsidRPr="00D037EB">
              <w:rPr>
                <w:rFonts w:ascii="Times New Roman" w:eastAsia="Times New Roman" w:hAnsi="Times New Roman"/>
                <w:b/>
                <w:sz w:val="20"/>
                <w:lang w:val="en-AU"/>
              </w:rPr>
              <w:t>usual</w:t>
            </w:r>
          </w:p>
        </w:tc>
        <w:tc>
          <w:tcPr>
            <w:tcW w:w="2615" w:type="dxa"/>
            <w:tcMar>
              <w:left w:w="70" w:type="dxa"/>
              <w:right w:w="70" w:type="dxa"/>
            </w:tcMar>
          </w:tcPr>
          <w:p w14:paraId="7A603956" w14:textId="77777777" w:rsidR="00D037EB" w:rsidRPr="00D037EB" w:rsidRDefault="00D037EB" w:rsidP="009944BD">
            <w:pPr>
              <w:widowControl w:val="0"/>
              <w:rPr>
                <w:lang w:val="en-AU"/>
              </w:rPr>
            </w:pPr>
            <w:r w:rsidRPr="00D037EB">
              <w:rPr>
                <w:rFonts w:ascii="Times New Roman" w:eastAsia="Times New Roman" w:hAnsi="Times New Roman"/>
                <w:b/>
                <w:sz w:val="20"/>
                <w:lang w:val="en-AU"/>
              </w:rPr>
              <w:t>Recruitment ceiling</w:t>
            </w:r>
          </w:p>
        </w:tc>
        <w:tc>
          <w:tcPr>
            <w:tcW w:w="2615" w:type="dxa"/>
            <w:tcMar>
              <w:left w:w="70" w:type="dxa"/>
              <w:right w:w="70" w:type="dxa"/>
            </w:tcMar>
          </w:tcPr>
          <w:p w14:paraId="58848D47" w14:textId="77777777" w:rsidR="00D037EB" w:rsidRPr="00D037EB" w:rsidRDefault="00D037EB" w:rsidP="009944BD">
            <w:pPr>
              <w:widowControl w:val="0"/>
              <w:rPr>
                <w:lang w:val="en-AU"/>
              </w:rPr>
            </w:pPr>
            <w:r>
              <w:rPr>
                <w:rFonts w:ascii="Times New Roman" w:eastAsia="Times New Roman" w:hAnsi="Times New Roman"/>
                <w:b/>
                <w:sz w:val="20"/>
                <w:lang w:val="en-AU"/>
              </w:rPr>
              <w:t>Compounding onset pressure</w:t>
            </w:r>
          </w:p>
        </w:tc>
        <w:tc>
          <w:tcPr>
            <w:tcW w:w="2615" w:type="dxa"/>
            <w:tcMar>
              <w:left w:w="70" w:type="dxa"/>
              <w:right w:w="70" w:type="dxa"/>
            </w:tcMar>
          </w:tcPr>
          <w:p w14:paraId="6778DA79" w14:textId="77777777" w:rsidR="00D037EB" w:rsidRPr="00D037EB" w:rsidRDefault="00D037EB" w:rsidP="009944BD">
            <w:pPr>
              <w:widowControl w:val="0"/>
              <w:rPr>
                <w:lang w:val="en-AU"/>
              </w:rPr>
            </w:pPr>
            <w:r>
              <w:rPr>
                <w:rFonts w:ascii="Times New Roman" w:eastAsia="Times New Roman" w:hAnsi="Times New Roman"/>
                <w:b/>
                <w:sz w:val="20"/>
                <w:lang w:val="en-AU"/>
              </w:rPr>
              <w:t>Combined scenario</w:t>
            </w:r>
          </w:p>
        </w:tc>
      </w:tr>
      <w:tr w:rsidR="00D037EB" w:rsidRPr="00D037EB" w14:paraId="0FA052E2" w14:textId="77777777" w:rsidTr="00557389">
        <w:trPr>
          <w:cantSplit/>
        </w:trPr>
        <w:tc>
          <w:tcPr>
            <w:tcW w:w="2500" w:type="dxa"/>
            <w:tcMar>
              <w:left w:w="70" w:type="dxa"/>
              <w:right w:w="70" w:type="dxa"/>
            </w:tcMar>
          </w:tcPr>
          <w:p w14:paraId="0294866B" w14:textId="77777777" w:rsidR="00D037EB" w:rsidRPr="00D037EB" w:rsidRDefault="00D037EB" w:rsidP="009944BD">
            <w:pPr>
              <w:widowControl w:val="0"/>
              <w:rPr>
                <w:lang w:val="en-AU"/>
              </w:rPr>
            </w:pPr>
            <w:r>
              <w:rPr>
                <w:rFonts w:ascii="Times New Roman" w:eastAsia="Times New Roman" w:hAnsi="Times New Roman"/>
                <w:sz w:val="20"/>
                <w:lang w:val="en-AU"/>
              </w:rPr>
              <w:t>Population without mental ill-health</w:t>
            </w:r>
          </w:p>
        </w:tc>
        <w:tc>
          <w:tcPr>
            <w:tcW w:w="2615" w:type="dxa"/>
            <w:tcMar>
              <w:left w:w="70" w:type="dxa"/>
              <w:right w:w="70" w:type="dxa"/>
            </w:tcMar>
          </w:tcPr>
          <w:p w14:paraId="16F56B8C" w14:textId="77777777" w:rsidR="00D037EB" w:rsidRPr="00D037EB" w:rsidRDefault="00D037EB" w:rsidP="009944BD">
            <w:pPr>
              <w:widowControl w:val="0"/>
              <w:rPr>
                <w:lang w:val="en-AU"/>
              </w:rPr>
            </w:pPr>
            <w:r>
              <w:rPr>
                <w:rFonts w:ascii="Times New Roman" w:eastAsia="Times New Roman" w:hAnsi="Times New Roman"/>
                <w:sz w:val="20"/>
                <w:lang w:val="en-AU"/>
              </w:rPr>
              <w:t>The healthy-population reservoir grows with total population but is reduced by onset into mental ill-health and care states.</w:t>
            </w:r>
          </w:p>
        </w:tc>
        <w:tc>
          <w:tcPr>
            <w:tcW w:w="2615" w:type="dxa"/>
            <w:tcMar>
              <w:left w:w="70" w:type="dxa"/>
              <w:right w:w="70" w:type="dxa"/>
            </w:tcMar>
          </w:tcPr>
          <w:p w14:paraId="602BA7EF" w14:textId="77777777" w:rsidR="00D037EB" w:rsidRPr="00D037EB" w:rsidRDefault="00D037EB" w:rsidP="009944BD">
            <w:pPr>
              <w:widowControl w:val="0"/>
              <w:rPr>
                <w:lang w:val="en-AU"/>
              </w:rPr>
            </w:pPr>
            <w:r>
              <w:rPr>
                <w:rFonts w:ascii="Times New Roman" w:eastAsia="Times New Roman" w:hAnsi="Times New Roman"/>
                <w:sz w:val="20"/>
                <w:lang w:val="en-AU"/>
              </w:rPr>
              <w:t>The stock is slightly lower than BAU, consistent with redistribution into mental ill-health and care states while total population changes little.</w:t>
            </w:r>
          </w:p>
        </w:tc>
        <w:tc>
          <w:tcPr>
            <w:tcW w:w="2615" w:type="dxa"/>
            <w:tcMar>
              <w:left w:w="70" w:type="dxa"/>
              <w:right w:w="70" w:type="dxa"/>
            </w:tcMar>
          </w:tcPr>
          <w:p w14:paraId="05D67703" w14:textId="68C8C4AE" w:rsidR="00D037EB" w:rsidRPr="00D037EB" w:rsidRDefault="00D037EB" w:rsidP="009944BD">
            <w:pPr>
              <w:widowControl w:val="0"/>
              <w:rPr>
                <w:lang w:val="en-AU"/>
              </w:rPr>
            </w:pPr>
            <w:r>
              <w:rPr>
                <w:rFonts w:ascii="Times New Roman" w:eastAsia="Times New Roman" w:hAnsi="Times New Roman"/>
                <w:sz w:val="20"/>
                <w:lang w:val="en-AU"/>
              </w:rPr>
              <w:t>Continually compounding onset transfers progressively more people from the healthy-population reservoir into mental ill-health and care states</w:t>
            </w:r>
            <w:r w:rsidR="00FA5446">
              <w:rPr>
                <w:rFonts w:ascii="Times New Roman" w:eastAsia="Times New Roman" w:hAnsi="Times New Roman"/>
                <w:sz w:val="20"/>
                <w:lang w:val="en-AU"/>
              </w:rPr>
              <w:t>.</w:t>
            </w:r>
          </w:p>
        </w:tc>
        <w:tc>
          <w:tcPr>
            <w:tcW w:w="2615" w:type="dxa"/>
            <w:tcMar>
              <w:left w:w="70" w:type="dxa"/>
              <w:right w:w="70" w:type="dxa"/>
            </w:tcMar>
          </w:tcPr>
          <w:p w14:paraId="22624999" w14:textId="1C0532B4" w:rsidR="00D037EB" w:rsidRPr="00D037EB" w:rsidRDefault="00D037EB" w:rsidP="009944BD">
            <w:pPr>
              <w:widowControl w:val="0"/>
              <w:rPr>
                <w:lang w:val="en-AU"/>
              </w:rPr>
            </w:pPr>
            <w:r>
              <w:rPr>
                <w:rFonts w:ascii="Times New Roman" w:eastAsia="Times New Roman" w:hAnsi="Times New Roman"/>
                <w:sz w:val="20"/>
                <w:lang w:val="en-AU"/>
              </w:rPr>
              <w:t>Compounding onset transfers more people from the healthy</w:t>
            </w:r>
            <w:r w:rsidR="00557389">
              <w:rPr>
                <w:rFonts w:ascii="Times New Roman" w:eastAsia="Times New Roman" w:hAnsi="Times New Roman"/>
                <w:sz w:val="20"/>
                <w:lang w:val="en-A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lang w:val="en-AU"/>
              </w:rPr>
              <w:t>population reservoir, while the recruitment ceiling limits downstream capacity. The stock is therefore lower than BAU and slightly lower than under onset pressure alone.</w:t>
            </w:r>
          </w:p>
        </w:tc>
      </w:tr>
      <w:tr w:rsidR="00D037EB" w:rsidRPr="00D037EB" w14:paraId="1AB7A1D0" w14:textId="77777777" w:rsidTr="00557389">
        <w:trPr>
          <w:cantSplit/>
        </w:trPr>
        <w:tc>
          <w:tcPr>
            <w:tcW w:w="2500" w:type="dxa"/>
            <w:tcMar>
              <w:left w:w="70" w:type="dxa"/>
              <w:right w:w="70" w:type="dxa"/>
            </w:tcMar>
          </w:tcPr>
          <w:p w14:paraId="6E9CE1E9" w14:textId="77777777" w:rsidR="00D037EB" w:rsidRPr="00D037EB" w:rsidRDefault="00D037EB" w:rsidP="009944BD">
            <w:pPr>
              <w:widowControl w:val="0"/>
              <w:rPr>
                <w:lang w:val="en-AU"/>
              </w:rPr>
            </w:pPr>
            <w:r>
              <w:rPr>
                <w:rFonts w:ascii="Times New Roman" w:eastAsia="Times New Roman" w:hAnsi="Times New Roman"/>
                <w:sz w:val="20"/>
                <w:lang w:val="en-AU"/>
              </w:rPr>
              <w:t>Supply-demand indicator</w:t>
            </w:r>
          </w:p>
        </w:tc>
        <w:tc>
          <w:tcPr>
            <w:tcW w:w="2615" w:type="dxa"/>
            <w:tcMar>
              <w:left w:w="70" w:type="dxa"/>
              <w:right w:w="70" w:type="dxa"/>
            </w:tcMar>
          </w:tcPr>
          <w:p w14:paraId="1393974A" w14:textId="03576A1B" w:rsidR="00D037EB" w:rsidRPr="00D037EB" w:rsidRDefault="00D037EB" w:rsidP="009944BD">
            <w:pPr>
              <w:widowControl w:val="0"/>
              <w:rPr>
                <w:lang w:val="en-AU"/>
              </w:rPr>
            </w:pPr>
            <w:r>
              <w:rPr>
                <w:rFonts w:ascii="Times New Roman" w:eastAsia="Times New Roman" w:hAnsi="Times New Roman"/>
                <w:sz w:val="20"/>
                <w:lang w:val="en-AU"/>
              </w:rPr>
              <w:t>Uncapped recruitment responds to treatment demand but does not force SDI to 1. Turnover, perception and recruitment delays, and variation in care-seeking, referral and attrition shape treatment demand and may contribute to an ensemble mean below ideal without progressive deterioration.</w:t>
            </w:r>
          </w:p>
        </w:tc>
        <w:tc>
          <w:tcPr>
            <w:tcW w:w="2615" w:type="dxa"/>
            <w:tcMar>
              <w:left w:w="70" w:type="dxa"/>
              <w:right w:w="70" w:type="dxa"/>
            </w:tcMar>
          </w:tcPr>
          <w:p w14:paraId="201FBE3D" w14:textId="77777777" w:rsidR="00D037EB" w:rsidRPr="00D037EB" w:rsidRDefault="00D037EB" w:rsidP="009944BD">
            <w:pPr>
              <w:widowControl w:val="0"/>
              <w:rPr>
                <w:lang w:val="en-AU"/>
              </w:rPr>
            </w:pPr>
            <w:r>
              <w:rPr>
                <w:rFonts w:ascii="Times New Roman" w:eastAsia="Times New Roman" w:hAnsi="Times New Roman"/>
                <w:sz w:val="20"/>
                <w:lang w:val="en-AU"/>
              </w:rPr>
              <w:t>Recruitment cannot add FTE fast enough. Baseline capacity therefore falls relative to treatment demand, reducing SDI.</w:t>
            </w:r>
          </w:p>
        </w:tc>
        <w:tc>
          <w:tcPr>
            <w:tcW w:w="2615" w:type="dxa"/>
            <w:tcMar>
              <w:left w:w="70" w:type="dxa"/>
              <w:right w:w="70" w:type="dxa"/>
            </w:tcMar>
          </w:tcPr>
          <w:p w14:paraId="7CD1E127" w14:textId="77777777" w:rsidR="00D037EB" w:rsidRPr="00D037EB" w:rsidRDefault="00D037EB" w:rsidP="009944BD">
            <w:pPr>
              <w:widowControl w:val="0"/>
              <w:rPr>
                <w:lang w:val="en-AU"/>
              </w:rPr>
            </w:pPr>
            <w:r>
              <w:rPr>
                <w:rFonts w:ascii="Times New Roman" w:eastAsia="Times New Roman" w:hAnsi="Times New Roman"/>
                <w:sz w:val="20"/>
                <w:lang w:val="en-AU"/>
              </w:rPr>
              <w:t>Need continues to grow while recruitment remains uncapped. Capacity expands substantially, but its response remains slightly behind the compounding burden, leaving SDI modestly below BAU in 2050.</w:t>
            </w:r>
          </w:p>
        </w:tc>
        <w:tc>
          <w:tcPr>
            <w:tcW w:w="2615" w:type="dxa"/>
            <w:tcMar>
              <w:left w:w="70" w:type="dxa"/>
              <w:right w:w="70" w:type="dxa"/>
            </w:tcMar>
          </w:tcPr>
          <w:p w14:paraId="2FAE2CCD" w14:textId="77777777" w:rsidR="00D037EB" w:rsidRPr="00D037EB" w:rsidRDefault="00D037EB" w:rsidP="009944BD">
            <w:pPr>
              <w:widowControl w:val="0"/>
              <w:rPr>
                <w:lang w:val="en-AU"/>
              </w:rPr>
            </w:pPr>
            <w:r>
              <w:rPr>
                <w:rFonts w:ascii="Times New Roman" w:eastAsia="Times New Roman" w:hAnsi="Times New Roman"/>
                <w:sz w:val="20"/>
                <w:lang w:val="en-AU"/>
              </w:rPr>
              <w:t>Need compounds while recruitment cannot exceed the ceiling. Capacity falls further behind treatment demand, producing the largest SDI deficit of the three stress tests.</w:t>
            </w:r>
          </w:p>
        </w:tc>
      </w:tr>
      <w:tr w:rsidR="00D037EB" w:rsidRPr="00D037EB" w14:paraId="09853BF2" w14:textId="77777777" w:rsidTr="00557389">
        <w:trPr>
          <w:cantSplit/>
        </w:trPr>
        <w:tc>
          <w:tcPr>
            <w:tcW w:w="2500" w:type="dxa"/>
            <w:tcMar>
              <w:left w:w="70" w:type="dxa"/>
              <w:right w:w="70" w:type="dxa"/>
            </w:tcMar>
          </w:tcPr>
          <w:p w14:paraId="11C759CB" w14:textId="77777777" w:rsidR="00D037EB" w:rsidRPr="00D037EB" w:rsidRDefault="00D037EB" w:rsidP="009944BD">
            <w:pPr>
              <w:widowControl w:val="0"/>
              <w:rPr>
                <w:lang w:val="en-AU"/>
              </w:rPr>
            </w:pPr>
            <w:r>
              <w:rPr>
                <w:rFonts w:ascii="Times New Roman" w:eastAsia="Times New Roman" w:hAnsi="Times New Roman"/>
                <w:sz w:val="20"/>
                <w:lang w:val="en-AU"/>
              </w:rPr>
              <w:t>Perceived relative system performance</w:t>
            </w:r>
          </w:p>
        </w:tc>
        <w:tc>
          <w:tcPr>
            <w:tcW w:w="2615" w:type="dxa"/>
            <w:tcMar>
              <w:left w:w="70" w:type="dxa"/>
              <w:right w:w="70" w:type="dxa"/>
            </w:tcMar>
          </w:tcPr>
          <w:p w14:paraId="27CC8130" w14:textId="77777777" w:rsidR="00D037EB" w:rsidRPr="00D037EB" w:rsidRDefault="00D037EB" w:rsidP="009944BD">
            <w:pPr>
              <w:widowControl w:val="0"/>
              <w:rPr>
                <w:lang w:val="en-AU"/>
              </w:rPr>
            </w:pPr>
            <w:r>
              <w:rPr>
                <w:rFonts w:ascii="Times New Roman" w:eastAsia="Times New Roman" w:hAnsi="Times New Roman"/>
                <w:sz w:val="20"/>
                <w:lang w:val="en-AU"/>
              </w:rPr>
              <w:t>This delayed workforce-perception stock remains close to its reference because SDI does not progressively deteriorate.</w:t>
            </w:r>
          </w:p>
        </w:tc>
        <w:tc>
          <w:tcPr>
            <w:tcW w:w="2615" w:type="dxa"/>
            <w:tcMar>
              <w:left w:w="70" w:type="dxa"/>
              <w:right w:w="70" w:type="dxa"/>
            </w:tcMar>
          </w:tcPr>
          <w:p w14:paraId="6B84CA01" w14:textId="6F30ED0D" w:rsidR="00D037EB" w:rsidRPr="00D037EB" w:rsidRDefault="00D037EB" w:rsidP="009944BD">
            <w:pPr>
              <w:widowControl w:val="0"/>
              <w:rPr>
                <w:lang w:val="en-AU"/>
              </w:rPr>
            </w:pPr>
            <w:r>
              <w:rPr>
                <w:rFonts w:ascii="Times New Roman" w:eastAsia="Times New Roman" w:hAnsi="Times New Roman"/>
                <w:sz w:val="20"/>
                <w:lang w:val="en-AU"/>
              </w:rPr>
              <w:t xml:space="preserve">Lower SDI is perceived after a delay, reducing the perceived system-performance index and feeding lower </w:t>
            </w:r>
            <w:r w:rsidR="00590AC5">
              <w:rPr>
                <w:rFonts w:ascii="Times New Roman" w:eastAsia="Times New Roman" w:hAnsi="Times New Roman"/>
                <w:sz w:val="20"/>
                <w:lang w:val="en-AU"/>
              </w:rPr>
              <w:t xml:space="preserve">morale and </w:t>
            </w:r>
            <w:r>
              <w:rPr>
                <w:rFonts w:ascii="Times New Roman" w:eastAsia="Times New Roman" w:hAnsi="Times New Roman"/>
                <w:sz w:val="20"/>
                <w:lang w:val="en-AU"/>
              </w:rPr>
              <w:t>professional passion.</w:t>
            </w:r>
          </w:p>
        </w:tc>
        <w:tc>
          <w:tcPr>
            <w:tcW w:w="2615" w:type="dxa"/>
            <w:tcMar>
              <w:left w:w="70" w:type="dxa"/>
              <w:right w:w="70" w:type="dxa"/>
            </w:tcMar>
          </w:tcPr>
          <w:p w14:paraId="604671B6" w14:textId="2882933B" w:rsidR="00D037EB" w:rsidRPr="00D037EB" w:rsidRDefault="00D037EB" w:rsidP="009944BD">
            <w:pPr>
              <w:widowControl w:val="0"/>
              <w:rPr>
                <w:lang w:val="en-AU"/>
              </w:rPr>
            </w:pPr>
            <w:r>
              <w:rPr>
                <w:rFonts w:ascii="Times New Roman" w:eastAsia="Times New Roman" w:hAnsi="Times New Roman"/>
                <w:sz w:val="20"/>
                <w:lang w:val="en-AU"/>
              </w:rPr>
              <w:t xml:space="preserve">The </w:t>
            </w:r>
            <w:r w:rsidR="00557389">
              <w:rPr>
                <w:rFonts w:ascii="Times New Roman" w:eastAsia="Times New Roman" w:hAnsi="Times New Roman"/>
                <w:sz w:val="20"/>
                <w:lang w:val="en-AU"/>
              </w:rPr>
              <w:t>small, persistent</w:t>
            </w:r>
            <w:r>
              <w:rPr>
                <w:rFonts w:ascii="Times New Roman" w:eastAsia="Times New Roman" w:hAnsi="Times New Roman"/>
                <w:sz w:val="20"/>
                <w:lang w:val="en-AU"/>
              </w:rPr>
              <w:t xml:space="preserve"> SDI deficit produces a correspondingly small reduction in perceived system performance after the perception delay.</w:t>
            </w:r>
          </w:p>
        </w:tc>
        <w:tc>
          <w:tcPr>
            <w:tcW w:w="2615" w:type="dxa"/>
            <w:tcMar>
              <w:left w:w="70" w:type="dxa"/>
              <w:right w:w="70" w:type="dxa"/>
            </w:tcMar>
          </w:tcPr>
          <w:p w14:paraId="47F9937B" w14:textId="77777777" w:rsidR="00D037EB" w:rsidRPr="00D037EB" w:rsidRDefault="00D037EB" w:rsidP="009944BD">
            <w:pPr>
              <w:widowControl w:val="0"/>
              <w:rPr>
                <w:lang w:val="en-AU"/>
              </w:rPr>
            </w:pPr>
            <w:r>
              <w:rPr>
                <w:rFonts w:ascii="Times New Roman" w:eastAsia="Times New Roman" w:hAnsi="Times New Roman"/>
                <w:sz w:val="20"/>
                <w:lang w:val="en-AU"/>
              </w:rPr>
              <w:t>The larger persistent SDI deficit is registered after a delay, reducing perceived system performance and feeding lower morale and professional passion.</w:t>
            </w:r>
          </w:p>
        </w:tc>
      </w:tr>
      <w:tr w:rsidR="00D037EB" w:rsidRPr="00D037EB" w14:paraId="4E14C51C" w14:textId="77777777" w:rsidTr="00557389">
        <w:trPr>
          <w:cantSplit/>
        </w:trPr>
        <w:tc>
          <w:tcPr>
            <w:tcW w:w="2500" w:type="dxa"/>
            <w:tcMar>
              <w:left w:w="70" w:type="dxa"/>
              <w:right w:w="70" w:type="dxa"/>
            </w:tcMar>
          </w:tcPr>
          <w:p w14:paraId="57596ACF" w14:textId="77777777" w:rsidR="00D037EB" w:rsidRPr="00D037EB" w:rsidRDefault="00D037EB" w:rsidP="009944BD">
            <w:pPr>
              <w:widowControl w:val="0"/>
              <w:rPr>
                <w:lang w:val="en-AU"/>
              </w:rPr>
            </w:pPr>
            <w:r>
              <w:rPr>
                <w:rFonts w:ascii="Times New Roman" w:eastAsia="Times New Roman" w:hAnsi="Times New Roman"/>
                <w:sz w:val="20"/>
                <w:lang w:val="en-AU"/>
              </w:rPr>
              <w:lastRenderedPageBreak/>
              <w:t>Perceived relative wait time</w:t>
            </w:r>
          </w:p>
        </w:tc>
        <w:tc>
          <w:tcPr>
            <w:tcW w:w="2615" w:type="dxa"/>
            <w:tcMar>
              <w:left w:w="70" w:type="dxa"/>
              <w:right w:w="70" w:type="dxa"/>
            </w:tcMar>
          </w:tcPr>
          <w:p w14:paraId="1C63745F" w14:textId="77777777" w:rsidR="00D037EB" w:rsidRPr="00D037EB" w:rsidRDefault="00D037EB" w:rsidP="009944BD">
            <w:pPr>
              <w:widowControl w:val="0"/>
              <w:rPr>
                <w:lang w:val="en-AU"/>
              </w:rPr>
            </w:pPr>
            <w:r>
              <w:rPr>
                <w:rFonts w:ascii="Times New Roman" w:eastAsia="Times New Roman" w:hAnsi="Times New Roman"/>
                <w:sz w:val="20"/>
                <w:lang w:val="en-AU"/>
              </w:rPr>
              <w:t>Admissions broadly keep pace with the queue, so delayed perceived relative waiting remains slightly favourable on average.</w:t>
            </w:r>
          </w:p>
        </w:tc>
        <w:tc>
          <w:tcPr>
            <w:tcW w:w="2615" w:type="dxa"/>
            <w:tcMar>
              <w:left w:w="70" w:type="dxa"/>
              <w:right w:w="70" w:type="dxa"/>
            </w:tcMar>
          </w:tcPr>
          <w:p w14:paraId="2E742CF1" w14:textId="77777777" w:rsidR="00D037EB" w:rsidRPr="00D037EB" w:rsidRDefault="00D037EB" w:rsidP="009944BD">
            <w:pPr>
              <w:widowControl w:val="0"/>
              <w:rPr>
                <w:lang w:val="en-AU"/>
              </w:rPr>
            </w:pPr>
            <w:r>
              <w:rPr>
                <w:rFonts w:ascii="Times New Roman" w:eastAsia="Times New Roman" w:hAnsi="Times New Roman"/>
                <w:sz w:val="20"/>
                <w:lang w:val="en-AU"/>
              </w:rPr>
              <w:t>Admissions fall more than the visible queue. Relative waiting therefore worsens and is registered by the delayed perception stock.</w:t>
            </w:r>
          </w:p>
        </w:tc>
        <w:tc>
          <w:tcPr>
            <w:tcW w:w="2615" w:type="dxa"/>
            <w:tcMar>
              <w:left w:w="70" w:type="dxa"/>
              <w:right w:w="70" w:type="dxa"/>
            </w:tcMar>
          </w:tcPr>
          <w:p w14:paraId="39ECD784" w14:textId="77777777" w:rsidR="00D037EB" w:rsidRPr="00D037EB" w:rsidRDefault="00D037EB" w:rsidP="009944BD">
            <w:pPr>
              <w:widowControl w:val="0"/>
              <w:rPr>
                <w:lang w:val="en-AU"/>
              </w:rPr>
            </w:pPr>
            <w:r>
              <w:rPr>
                <w:rFonts w:ascii="Times New Roman" w:eastAsia="Times New Roman" w:hAnsi="Times New Roman"/>
                <w:sz w:val="20"/>
                <w:lang w:val="en-AU"/>
              </w:rPr>
              <w:t>The continuing demand-capacity mismatch produces a small but persistent increase in perceived relative waiting despite workforce expansion.</w:t>
            </w:r>
          </w:p>
        </w:tc>
        <w:tc>
          <w:tcPr>
            <w:tcW w:w="2615" w:type="dxa"/>
            <w:tcMar>
              <w:left w:w="70" w:type="dxa"/>
              <w:right w:w="70" w:type="dxa"/>
            </w:tcMar>
          </w:tcPr>
          <w:p w14:paraId="4C9BBBCF" w14:textId="77777777" w:rsidR="00D037EB" w:rsidRPr="00D037EB" w:rsidRDefault="00D037EB" w:rsidP="009944BD">
            <w:pPr>
              <w:widowControl w:val="0"/>
              <w:rPr>
                <w:lang w:val="en-AU"/>
              </w:rPr>
            </w:pPr>
            <w:r>
              <w:rPr>
                <w:rFonts w:ascii="Times New Roman" w:eastAsia="Times New Roman" w:hAnsi="Times New Roman"/>
                <w:sz w:val="20"/>
                <w:lang w:val="en-AU"/>
              </w:rPr>
              <w:t>Admissions do not keep pace with the larger burden. Relative waiting worsens and is registered by the delayed perception stock even though the visible queue remains close to BAU.</w:t>
            </w:r>
          </w:p>
        </w:tc>
      </w:tr>
      <w:tr w:rsidR="00D037EB" w:rsidRPr="00D037EB" w14:paraId="2284D38E" w14:textId="77777777" w:rsidTr="00557389">
        <w:trPr>
          <w:cantSplit/>
        </w:trPr>
        <w:tc>
          <w:tcPr>
            <w:tcW w:w="2500" w:type="dxa"/>
            <w:tcMar>
              <w:left w:w="70" w:type="dxa"/>
              <w:right w:w="70" w:type="dxa"/>
            </w:tcMar>
          </w:tcPr>
          <w:p w14:paraId="0DDA9B11" w14:textId="77777777" w:rsidR="00D037EB" w:rsidRPr="00D037EB" w:rsidRDefault="00D037EB" w:rsidP="009944BD">
            <w:pPr>
              <w:widowControl w:val="0"/>
              <w:rPr>
                <w:lang w:val="en-AU"/>
              </w:rPr>
            </w:pPr>
            <w:r>
              <w:rPr>
                <w:rFonts w:ascii="Times New Roman" w:eastAsia="Times New Roman" w:hAnsi="Times New Roman"/>
                <w:sz w:val="20"/>
                <w:lang w:val="en-AU"/>
              </w:rPr>
              <w:t>Care-seeking prevalence</w:t>
            </w:r>
          </w:p>
        </w:tc>
        <w:tc>
          <w:tcPr>
            <w:tcW w:w="2615" w:type="dxa"/>
            <w:tcMar>
              <w:left w:w="70" w:type="dxa"/>
              <w:right w:w="70" w:type="dxa"/>
            </w:tcMar>
          </w:tcPr>
          <w:p w14:paraId="167B9121" w14:textId="77777777" w:rsidR="00D037EB" w:rsidRPr="00D037EB" w:rsidRDefault="00D037EB" w:rsidP="009944BD">
            <w:pPr>
              <w:widowControl w:val="0"/>
              <w:rPr>
                <w:lang w:val="en-AU"/>
              </w:rPr>
            </w:pPr>
            <w:r>
              <w:rPr>
                <w:rFonts w:ascii="Times New Roman" w:eastAsia="Times New Roman" w:hAnsi="Times New Roman"/>
                <w:sz w:val="20"/>
                <w:lang w:val="en-AU"/>
              </w:rPr>
              <w:t>People in formal care and people living with mental ill-health grow broadly together, so the proportion in care remains stable.</w:t>
            </w:r>
          </w:p>
        </w:tc>
        <w:tc>
          <w:tcPr>
            <w:tcW w:w="2615" w:type="dxa"/>
            <w:tcMar>
              <w:left w:w="70" w:type="dxa"/>
              <w:right w:w="70" w:type="dxa"/>
            </w:tcMar>
          </w:tcPr>
          <w:p w14:paraId="1D7B4A13" w14:textId="77777777" w:rsidR="00D037EB" w:rsidRPr="00D037EB" w:rsidRDefault="00D037EB" w:rsidP="009944BD">
            <w:pPr>
              <w:widowControl w:val="0"/>
              <w:rPr>
                <w:lang w:val="en-AU"/>
              </w:rPr>
            </w:pPr>
            <w:r>
              <w:rPr>
                <w:rFonts w:ascii="Times New Roman" w:eastAsia="Times New Roman" w:hAnsi="Times New Roman"/>
                <w:sz w:val="20"/>
                <w:lang w:val="en-AU"/>
              </w:rPr>
              <w:t>Worse perceived waiting deters some presentations, while greater attrition returns more people outside the formal pathway; the proportion in care falls.</w:t>
            </w:r>
          </w:p>
        </w:tc>
        <w:tc>
          <w:tcPr>
            <w:tcW w:w="2615" w:type="dxa"/>
            <w:tcMar>
              <w:left w:w="70" w:type="dxa"/>
              <w:right w:w="70" w:type="dxa"/>
            </w:tcMar>
          </w:tcPr>
          <w:p w14:paraId="1DD57F64" w14:textId="77777777" w:rsidR="00D037EB" w:rsidRPr="00D037EB" w:rsidRDefault="00D037EB" w:rsidP="009944BD">
            <w:pPr>
              <w:widowControl w:val="0"/>
              <w:rPr>
                <w:lang w:val="en-AU"/>
              </w:rPr>
            </w:pPr>
            <w:r>
              <w:rPr>
                <w:rFonts w:ascii="Times New Roman" w:eastAsia="Times New Roman" w:hAnsi="Times New Roman"/>
                <w:sz w:val="20"/>
                <w:lang w:val="en-AU"/>
              </w:rPr>
              <w:t>Formal care expands, but the population living with mental ill-health grows faster, leaving care-seeking prevalence slightly below BAU.</w:t>
            </w:r>
          </w:p>
        </w:tc>
        <w:tc>
          <w:tcPr>
            <w:tcW w:w="2615" w:type="dxa"/>
            <w:tcMar>
              <w:left w:w="70" w:type="dxa"/>
              <w:right w:w="70" w:type="dxa"/>
            </w:tcMar>
          </w:tcPr>
          <w:p w14:paraId="0D80E425" w14:textId="77777777" w:rsidR="00D037EB" w:rsidRPr="00D037EB" w:rsidRDefault="00D037EB" w:rsidP="009944BD">
            <w:pPr>
              <w:widowControl w:val="0"/>
              <w:rPr>
                <w:lang w:val="en-AU"/>
              </w:rPr>
            </w:pPr>
            <w:r>
              <w:rPr>
                <w:rFonts w:ascii="Times New Roman" w:eastAsia="Times New Roman" w:hAnsi="Times New Roman"/>
                <w:sz w:val="20"/>
                <w:lang w:val="en-AU"/>
              </w:rPr>
              <w:t>The population living with mental ill-health grows while worse perceived waiting, suppressed presentation and greater attrition limit formal care. The proportion in care falls further below BAU.</w:t>
            </w:r>
          </w:p>
        </w:tc>
      </w:tr>
      <w:tr w:rsidR="00D037EB" w:rsidRPr="00D037EB" w14:paraId="472502C8" w14:textId="77777777" w:rsidTr="00557389">
        <w:trPr>
          <w:cantSplit/>
        </w:trPr>
        <w:tc>
          <w:tcPr>
            <w:tcW w:w="2500" w:type="dxa"/>
            <w:tcMar>
              <w:left w:w="70" w:type="dxa"/>
              <w:right w:w="70" w:type="dxa"/>
            </w:tcMar>
          </w:tcPr>
          <w:p w14:paraId="5CB4B937" w14:textId="77777777" w:rsidR="00D037EB" w:rsidRPr="00D037EB" w:rsidRDefault="00D037EB" w:rsidP="009944BD">
            <w:pPr>
              <w:widowControl w:val="0"/>
              <w:rPr>
                <w:lang w:val="en-AU"/>
              </w:rPr>
            </w:pPr>
            <w:r>
              <w:rPr>
                <w:rFonts w:ascii="Times New Roman" w:eastAsia="Times New Roman" w:hAnsi="Times New Roman"/>
                <w:sz w:val="20"/>
                <w:lang w:val="en-AU"/>
              </w:rPr>
              <w:t>Suppressed care-seeking gap and fraction</w:t>
            </w:r>
          </w:p>
        </w:tc>
        <w:tc>
          <w:tcPr>
            <w:tcW w:w="2615" w:type="dxa"/>
            <w:tcMar>
              <w:left w:w="70" w:type="dxa"/>
              <w:right w:w="70" w:type="dxa"/>
            </w:tcMar>
          </w:tcPr>
          <w:p w14:paraId="1C324986" w14:textId="30DF1E89" w:rsidR="00D037EB" w:rsidRPr="00D037EB" w:rsidRDefault="00D037EB" w:rsidP="009944BD">
            <w:pPr>
              <w:widowControl w:val="0"/>
              <w:rPr>
                <w:lang w:val="en-AU"/>
              </w:rPr>
            </w:pPr>
            <w:r>
              <w:rPr>
                <w:rFonts w:ascii="Times New Roman" w:eastAsia="Times New Roman" w:hAnsi="Times New Roman"/>
                <w:sz w:val="20"/>
                <w:lang w:val="en-AU"/>
              </w:rPr>
              <w:t>Waiting is perceived as slightly favourable, so presentations average above normal expectation and both measures are negative.</w:t>
            </w:r>
          </w:p>
        </w:tc>
        <w:tc>
          <w:tcPr>
            <w:tcW w:w="2615" w:type="dxa"/>
            <w:tcMar>
              <w:left w:w="70" w:type="dxa"/>
              <w:right w:w="70" w:type="dxa"/>
            </w:tcMar>
          </w:tcPr>
          <w:p w14:paraId="503B6BA7" w14:textId="2D28BAAA" w:rsidR="00D037EB" w:rsidRPr="00D037EB" w:rsidRDefault="00D037EB" w:rsidP="009944BD">
            <w:pPr>
              <w:widowControl w:val="0"/>
              <w:rPr>
                <w:lang w:val="en-AU"/>
              </w:rPr>
            </w:pPr>
            <w:r>
              <w:rPr>
                <w:rFonts w:ascii="Times New Roman" w:eastAsia="Times New Roman" w:hAnsi="Times New Roman"/>
                <w:sz w:val="20"/>
                <w:lang w:val="en-AU"/>
              </w:rPr>
              <w:t xml:space="preserve">Admissions fall enough to lengthen modelled waits. After a delay, </w:t>
            </w:r>
            <w:r w:rsidR="00F0210D">
              <w:rPr>
                <w:rFonts w:ascii="Times New Roman" w:eastAsia="Times New Roman" w:hAnsi="Times New Roman"/>
                <w:sz w:val="20"/>
                <w:lang w:val="en-AU"/>
              </w:rPr>
              <w:t xml:space="preserve">societal </w:t>
            </w:r>
            <w:r>
              <w:rPr>
                <w:rFonts w:ascii="Times New Roman" w:eastAsia="Times New Roman" w:hAnsi="Times New Roman"/>
                <w:sz w:val="20"/>
                <w:lang w:val="en-AU"/>
              </w:rPr>
              <w:t>perception worsens and fewer people present, making suppression positive.</w:t>
            </w:r>
          </w:p>
        </w:tc>
        <w:tc>
          <w:tcPr>
            <w:tcW w:w="2615" w:type="dxa"/>
            <w:tcMar>
              <w:left w:w="70" w:type="dxa"/>
              <w:right w:w="70" w:type="dxa"/>
            </w:tcMar>
          </w:tcPr>
          <w:p w14:paraId="129DB492" w14:textId="229BDB82" w:rsidR="00D037EB" w:rsidRPr="00D037EB" w:rsidRDefault="00315607" w:rsidP="009944BD">
            <w:pPr>
              <w:widowControl w:val="0"/>
              <w:rPr>
                <w:lang w:val="en-AU"/>
              </w:rPr>
            </w:pPr>
            <w:r>
              <w:rPr>
                <w:rFonts w:ascii="Times New Roman" w:eastAsia="Times New Roman" w:hAnsi="Times New Roman"/>
                <w:sz w:val="20"/>
                <w:lang w:val="en-AU"/>
              </w:rPr>
              <w:t>Small, persistent</w:t>
            </w:r>
            <w:r w:rsidR="00D037EB">
              <w:rPr>
                <w:rFonts w:ascii="Times New Roman" w:eastAsia="Times New Roman" w:hAnsi="Times New Roman"/>
                <w:sz w:val="20"/>
                <w:lang w:val="en-AU"/>
              </w:rPr>
              <w:t xml:space="preserve"> increases in perceived waiting reduce presentations relative to BAU. The suppression fraction is modestly higher by 2050, while the absolute gap remains uncertain across runs.</w:t>
            </w:r>
          </w:p>
        </w:tc>
        <w:tc>
          <w:tcPr>
            <w:tcW w:w="2615" w:type="dxa"/>
            <w:tcMar>
              <w:left w:w="70" w:type="dxa"/>
              <w:right w:w="70" w:type="dxa"/>
            </w:tcMar>
          </w:tcPr>
          <w:p w14:paraId="24BD2128" w14:textId="4D3F6DA1" w:rsidR="00D037EB" w:rsidRPr="00D037EB" w:rsidRDefault="00D037EB" w:rsidP="009944BD">
            <w:pPr>
              <w:widowControl w:val="0"/>
              <w:rPr>
                <w:lang w:val="en-AU"/>
              </w:rPr>
            </w:pPr>
            <w:r>
              <w:rPr>
                <w:rFonts w:ascii="Times New Roman" w:eastAsia="Times New Roman" w:hAnsi="Times New Roman"/>
                <w:sz w:val="20"/>
                <w:lang w:val="en-AU"/>
              </w:rPr>
              <w:t xml:space="preserve">Worse delayed perceptions of waiting suppress presentations. The mean gap becomes </w:t>
            </w:r>
            <w:r w:rsidR="00315607">
              <w:rPr>
                <w:rFonts w:ascii="Times New Roman" w:eastAsia="Times New Roman" w:hAnsi="Times New Roman"/>
                <w:sz w:val="20"/>
                <w:lang w:val="en-AU"/>
              </w:rPr>
              <w:t>positive,</w:t>
            </w:r>
            <w:r>
              <w:rPr>
                <w:rFonts w:ascii="Times New Roman" w:eastAsia="Times New Roman" w:hAnsi="Times New Roman"/>
                <w:sz w:val="20"/>
                <w:lang w:val="en-AU"/>
              </w:rPr>
              <w:t xml:space="preserve"> and the suppression fraction is substantially above BAU, although the absolute gap remains uncertain across runs.</w:t>
            </w:r>
          </w:p>
        </w:tc>
      </w:tr>
      <w:tr w:rsidR="00D037EB" w:rsidRPr="00D037EB" w14:paraId="6A18790A" w14:textId="77777777" w:rsidTr="00557389">
        <w:trPr>
          <w:cantSplit/>
        </w:trPr>
        <w:tc>
          <w:tcPr>
            <w:tcW w:w="2500" w:type="dxa"/>
            <w:tcMar>
              <w:left w:w="70" w:type="dxa"/>
              <w:right w:w="70" w:type="dxa"/>
            </w:tcMar>
          </w:tcPr>
          <w:p w14:paraId="71E87FE8" w14:textId="77777777" w:rsidR="00D037EB" w:rsidRPr="00D037EB" w:rsidRDefault="00D037EB" w:rsidP="009944BD">
            <w:pPr>
              <w:widowControl w:val="0"/>
              <w:rPr>
                <w:lang w:val="en-AU"/>
              </w:rPr>
            </w:pPr>
            <w:r>
              <w:rPr>
                <w:rFonts w:ascii="Times New Roman" w:eastAsia="Times New Roman" w:hAnsi="Times New Roman"/>
                <w:sz w:val="20"/>
                <w:lang w:val="en-AU"/>
              </w:rPr>
              <w:t>Psychology pipeline attrition</w:t>
            </w:r>
          </w:p>
        </w:tc>
        <w:tc>
          <w:tcPr>
            <w:tcW w:w="2615" w:type="dxa"/>
            <w:tcMar>
              <w:left w:w="70" w:type="dxa"/>
              <w:right w:w="70" w:type="dxa"/>
            </w:tcMar>
          </w:tcPr>
          <w:p w14:paraId="7F7FCB88" w14:textId="3AFBC84E" w:rsidR="00D037EB" w:rsidRPr="00D037EB" w:rsidRDefault="00D037EB" w:rsidP="009944BD">
            <w:pPr>
              <w:widowControl w:val="0"/>
              <w:rPr>
                <w:lang w:val="en-AU"/>
              </w:rPr>
            </w:pPr>
            <w:r>
              <w:rPr>
                <w:rFonts w:ascii="Times New Roman" w:eastAsia="Times New Roman" w:hAnsi="Times New Roman"/>
                <w:sz w:val="20"/>
                <w:lang w:val="en-AU"/>
              </w:rPr>
              <w:t xml:space="preserve">Relative waiting and service quality do not progressively </w:t>
            </w:r>
            <w:r w:rsidR="006563DE">
              <w:rPr>
                <w:rFonts w:ascii="Times New Roman" w:eastAsia="Times New Roman" w:hAnsi="Times New Roman"/>
                <w:sz w:val="20"/>
                <w:lang w:val="en-AU"/>
              </w:rPr>
              <w:t>deteriorate,</w:t>
            </w:r>
            <w:r>
              <w:rPr>
                <w:rFonts w:ascii="Times New Roman" w:eastAsia="Times New Roman" w:hAnsi="Times New Roman"/>
                <w:sz w:val="20"/>
                <w:lang w:val="en-AU"/>
              </w:rPr>
              <w:t xml:space="preserve"> so unresolved exits remain broadly stable as a share of referrals.</w:t>
            </w:r>
          </w:p>
        </w:tc>
        <w:tc>
          <w:tcPr>
            <w:tcW w:w="2615" w:type="dxa"/>
            <w:tcMar>
              <w:left w:w="70" w:type="dxa"/>
              <w:right w:w="70" w:type="dxa"/>
            </w:tcMar>
          </w:tcPr>
          <w:p w14:paraId="64B0221B" w14:textId="77777777" w:rsidR="00D037EB" w:rsidRPr="00D037EB" w:rsidRDefault="00D037EB" w:rsidP="009944BD">
            <w:pPr>
              <w:widowControl w:val="0"/>
              <w:rPr>
                <w:lang w:val="en-AU"/>
              </w:rPr>
            </w:pPr>
            <w:r>
              <w:rPr>
                <w:rFonts w:ascii="Times New Roman" w:eastAsia="Times New Roman" w:hAnsi="Times New Roman"/>
                <w:sz w:val="20"/>
                <w:lang w:val="en-AU"/>
              </w:rPr>
              <w:t>Longer waits increase wait-list exits and lower quality increases in-treatment exits; pipeline attrition rises.</w:t>
            </w:r>
          </w:p>
        </w:tc>
        <w:tc>
          <w:tcPr>
            <w:tcW w:w="2615" w:type="dxa"/>
            <w:tcMar>
              <w:left w:w="70" w:type="dxa"/>
              <w:right w:w="70" w:type="dxa"/>
            </w:tcMar>
          </w:tcPr>
          <w:p w14:paraId="54194FD5" w14:textId="7EC3DD31" w:rsidR="00D037EB" w:rsidRPr="00D037EB" w:rsidRDefault="00D037EB" w:rsidP="009944BD">
            <w:pPr>
              <w:widowControl w:val="0"/>
              <w:rPr>
                <w:lang w:val="en-AU"/>
              </w:rPr>
            </w:pPr>
            <w:r>
              <w:rPr>
                <w:rFonts w:ascii="Times New Roman" w:eastAsia="Times New Roman" w:hAnsi="Times New Roman"/>
                <w:sz w:val="20"/>
                <w:lang w:val="en-AU"/>
              </w:rPr>
              <w:t>Slightly worse waiting and service quality increase mean attrition modestly</w:t>
            </w:r>
            <w:r w:rsidR="006563DE">
              <w:rPr>
                <w:rFonts w:ascii="Times New Roman" w:eastAsia="Times New Roman" w:hAnsi="Times New Roman"/>
                <w:sz w:val="20"/>
                <w:lang w:val="en-AU"/>
              </w:rPr>
              <w:t>.</w:t>
            </w:r>
          </w:p>
        </w:tc>
        <w:tc>
          <w:tcPr>
            <w:tcW w:w="2615" w:type="dxa"/>
            <w:tcMar>
              <w:left w:w="70" w:type="dxa"/>
              <w:right w:w="70" w:type="dxa"/>
            </w:tcMar>
          </w:tcPr>
          <w:p w14:paraId="06ADBA7A" w14:textId="77777777" w:rsidR="00D037EB" w:rsidRPr="00D037EB" w:rsidRDefault="00D037EB" w:rsidP="009944BD">
            <w:pPr>
              <w:widowControl w:val="0"/>
              <w:rPr>
                <w:lang w:val="en-AU"/>
              </w:rPr>
            </w:pPr>
            <w:r>
              <w:rPr>
                <w:rFonts w:ascii="Times New Roman" w:eastAsia="Times New Roman" w:hAnsi="Times New Roman"/>
                <w:sz w:val="20"/>
                <w:lang w:val="en-AU"/>
              </w:rPr>
              <w:t>Longer relative waits and lower service quality increase unresolved exits. A calibrated share returns to GP, so continued primary-care activity can reflect recycling rather than successful progression to treatment.</w:t>
            </w:r>
          </w:p>
        </w:tc>
      </w:tr>
      <w:tr w:rsidR="00D037EB" w:rsidRPr="00D037EB" w14:paraId="18C140D2" w14:textId="77777777" w:rsidTr="00557389">
        <w:trPr>
          <w:cantSplit/>
        </w:trPr>
        <w:tc>
          <w:tcPr>
            <w:tcW w:w="2500" w:type="dxa"/>
            <w:tcMar>
              <w:left w:w="70" w:type="dxa"/>
              <w:right w:w="70" w:type="dxa"/>
            </w:tcMar>
          </w:tcPr>
          <w:p w14:paraId="47E86C98" w14:textId="77777777" w:rsidR="00D037EB" w:rsidRPr="00D037EB" w:rsidRDefault="00D037EB" w:rsidP="009944BD">
            <w:pPr>
              <w:widowControl w:val="0"/>
              <w:rPr>
                <w:lang w:val="en-AU"/>
              </w:rPr>
            </w:pPr>
            <w:r>
              <w:rPr>
                <w:rFonts w:ascii="Times New Roman" w:eastAsia="Times New Roman" w:hAnsi="Times New Roman"/>
                <w:sz w:val="20"/>
                <w:lang w:val="en-AU"/>
              </w:rPr>
              <w:lastRenderedPageBreak/>
              <w:t>Treatment waiting stock</w:t>
            </w:r>
          </w:p>
        </w:tc>
        <w:tc>
          <w:tcPr>
            <w:tcW w:w="2615" w:type="dxa"/>
            <w:tcMar>
              <w:left w:w="70" w:type="dxa"/>
              <w:right w:w="70" w:type="dxa"/>
            </w:tcMar>
          </w:tcPr>
          <w:p w14:paraId="3A9AD5A4" w14:textId="77777777" w:rsidR="00D037EB" w:rsidRPr="00D037EB" w:rsidRDefault="00D037EB" w:rsidP="009944BD">
            <w:pPr>
              <w:widowControl w:val="0"/>
              <w:rPr>
                <w:lang w:val="en-AU"/>
              </w:rPr>
            </w:pPr>
            <w:r>
              <w:rPr>
                <w:rFonts w:ascii="Times New Roman" w:eastAsia="Times New Roman" w:hAnsi="Times New Roman"/>
                <w:sz w:val="20"/>
                <w:lang w:val="en-AU"/>
              </w:rPr>
              <w:t>The queue grows with the system, while treatment occupancy grows similarly.</w:t>
            </w:r>
          </w:p>
        </w:tc>
        <w:tc>
          <w:tcPr>
            <w:tcW w:w="2615" w:type="dxa"/>
            <w:tcMar>
              <w:left w:w="70" w:type="dxa"/>
              <w:right w:w="70" w:type="dxa"/>
            </w:tcMar>
          </w:tcPr>
          <w:p w14:paraId="6102C6EC" w14:textId="0CFE92D8" w:rsidR="00D037EB" w:rsidRPr="00D037EB" w:rsidRDefault="00D037EB" w:rsidP="009944BD">
            <w:pPr>
              <w:widowControl w:val="0"/>
              <w:rPr>
                <w:lang w:val="en-AU"/>
              </w:rPr>
            </w:pPr>
            <w:r>
              <w:rPr>
                <w:rFonts w:ascii="Times New Roman" w:eastAsia="Times New Roman" w:hAnsi="Times New Roman"/>
                <w:sz w:val="20"/>
                <w:lang w:val="en-AU"/>
              </w:rPr>
              <w:t xml:space="preserve">The visible queue is smaller because fewer people enter and more leave unresolved. Treatment numbers also fall substantially, so the smaller queue does not indicate </w:t>
            </w:r>
            <w:r w:rsidR="009E474F">
              <w:rPr>
                <w:rFonts w:ascii="Times New Roman" w:eastAsia="Times New Roman" w:hAnsi="Times New Roman"/>
                <w:sz w:val="20"/>
                <w:lang w:val="en-AU"/>
              </w:rPr>
              <w:t>improved</w:t>
            </w:r>
            <w:r>
              <w:rPr>
                <w:rFonts w:ascii="Times New Roman" w:eastAsia="Times New Roman" w:hAnsi="Times New Roman"/>
                <w:sz w:val="20"/>
                <w:lang w:val="en-AU"/>
              </w:rPr>
              <w:t xml:space="preserve"> access.</w:t>
            </w:r>
          </w:p>
        </w:tc>
        <w:tc>
          <w:tcPr>
            <w:tcW w:w="2615" w:type="dxa"/>
            <w:tcMar>
              <w:left w:w="70" w:type="dxa"/>
              <w:right w:w="70" w:type="dxa"/>
            </w:tcMar>
          </w:tcPr>
          <w:p w14:paraId="42963D7A" w14:textId="77777777" w:rsidR="00D037EB" w:rsidRPr="00D037EB" w:rsidRDefault="00D037EB" w:rsidP="009944BD">
            <w:pPr>
              <w:widowControl w:val="0"/>
              <w:rPr>
                <w:lang w:val="en-AU"/>
              </w:rPr>
            </w:pPr>
            <w:r>
              <w:rPr>
                <w:rFonts w:ascii="Times New Roman" w:eastAsia="Times New Roman" w:hAnsi="Times New Roman"/>
                <w:sz w:val="20"/>
                <w:lang w:val="en-AU"/>
              </w:rPr>
              <w:t>Continually increasing need raises both waiting and treatment stocks. The waiting stock remains above BAU because recruitment and admissions do not fully match the compounding inflow.</w:t>
            </w:r>
          </w:p>
        </w:tc>
        <w:tc>
          <w:tcPr>
            <w:tcW w:w="2615" w:type="dxa"/>
            <w:tcMar>
              <w:left w:w="70" w:type="dxa"/>
              <w:right w:w="70" w:type="dxa"/>
            </w:tcMar>
          </w:tcPr>
          <w:p w14:paraId="51D77D9C" w14:textId="77777777" w:rsidR="00D037EB" w:rsidRPr="00D037EB" w:rsidRDefault="00D037EB" w:rsidP="009944BD">
            <w:pPr>
              <w:widowControl w:val="0"/>
              <w:rPr>
                <w:lang w:val="en-AU"/>
              </w:rPr>
            </w:pPr>
            <w:r>
              <w:rPr>
                <w:rFonts w:ascii="Times New Roman" w:eastAsia="Times New Roman" w:hAnsi="Times New Roman"/>
                <w:sz w:val="20"/>
                <w:lang w:val="en-AU"/>
              </w:rPr>
              <w:t>The visible queue remains close to BAU because greater need pushes it up while suppressed entry and unresolved exits pull it down. Its size therefore conceals substantial loss of access.</w:t>
            </w:r>
          </w:p>
        </w:tc>
      </w:tr>
      <w:tr w:rsidR="00D037EB" w:rsidRPr="00D037EB" w14:paraId="333E94F3" w14:textId="77777777" w:rsidTr="00557389">
        <w:trPr>
          <w:cantSplit/>
        </w:trPr>
        <w:tc>
          <w:tcPr>
            <w:tcW w:w="2500" w:type="dxa"/>
            <w:tcMar>
              <w:left w:w="70" w:type="dxa"/>
              <w:right w:w="70" w:type="dxa"/>
            </w:tcMar>
          </w:tcPr>
          <w:p w14:paraId="48E0876A" w14:textId="77777777" w:rsidR="00D037EB" w:rsidRPr="00D037EB" w:rsidRDefault="00D037EB" w:rsidP="009944BD">
            <w:pPr>
              <w:widowControl w:val="0"/>
              <w:rPr>
                <w:lang w:val="en-AU"/>
              </w:rPr>
            </w:pPr>
            <w:r>
              <w:rPr>
                <w:rFonts w:ascii="Times New Roman" w:eastAsia="Times New Roman" w:hAnsi="Times New Roman"/>
                <w:sz w:val="20"/>
                <w:lang w:val="en-AU"/>
              </w:rPr>
              <w:t>Workforce gap</w:t>
            </w:r>
          </w:p>
        </w:tc>
        <w:tc>
          <w:tcPr>
            <w:tcW w:w="2615" w:type="dxa"/>
            <w:tcMar>
              <w:left w:w="70" w:type="dxa"/>
              <w:right w:w="70" w:type="dxa"/>
            </w:tcMar>
          </w:tcPr>
          <w:p w14:paraId="68B7C027" w14:textId="77777777" w:rsidR="00D037EB" w:rsidRPr="00D037EB" w:rsidRDefault="00D037EB" w:rsidP="009944BD">
            <w:pPr>
              <w:widowControl w:val="0"/>
              <w:rPr>
                <w:lang w:val="en-AU"/>
              </w:rPr>
            </w:pPr>
            <w:r>
              <w:rPr>
                <w:rFonts w:ascii="Times New Roman" w:eastAsia="Times New Roman" w:hAnsi="Times New Roman"/>
                <w:sz w:val="20"/>
                <w:lang w:val="en-AU"/>
              </w:rPr>
              <w:t>The gap is a forward-looking recruitment signal that includes expected departures, not observed vacancies. It grows as the system grows.</w:t>
            </w:r>
          </w:p>
        </w:tc>
        <w:tc>
          <w:tcPr>
            <w:tcW w:w="2615" w:type="dxa"/>
            <w:tcMar>
              <w:left w:w="70" w:type="dxa"/>
              <w:right w:w="70" w:type="dxa"/>
            </w:tcMar>
          </w:tcPr>
          <w:p w14:paraId="6C537F6B" w14:textId="77777777" w:rsidR="00D037EB" w:rsidRPr="00D037EB" w:rsidRDefault="00D037EB" w:rsidP="009944BD">
            <w:pPr>
              <w:widowControl w:val="0"/>
              <w:rPr>
                <w:lang w:val="en-AU"/>
              </w:rPr>
            </w:pPr>
            <w:r>
              <w:rPr>
                <w:rFonts w:ascii="Times New Roman" w:eastAsia="Times New Roman" w:hAnsi="Times New Roman"/>
                <w:sz w:val="20"/>
                <w:lang w:val="en-AU"/>
              </w:rPr>
              <w:t>The cap prevents the indicated gap from being closed; required FTE increasingly exceeds available capacity, so the absolute gap increases.</w:t>
            </w:r>
          </w:p>
        </w:tc>
        <w:tc>
          <w:tcPr>
            <w:tcW w:w="2615" w:type="dxa"/>
            <w:tcMar>
              <w:left w:w="70" w:type="dxa"/>
              <w:right w:w="70" w:type="dxa"/>
            </w:tcMar>
          </w:tcPr>
          <w:p w14:paraId="5A4C113F" w14:textId="77777777" w:rsidR="00D037EB" w:rsidRPr="00D037EB" w:rsidRDefault="00D037EB" w:rsidP="009944BD">
            <w:pPr>
              <w:widowControl w:val="0"/>
              <w:rPr>
                <w:lang w:val="en-AU"/>
              </w:rPr>
            </w:pPr>
            <w:r>
              <w:rPr>
                <w:rFonts w:ascii="Times New Roman" w:eastAsia="Times New Roman" w:hAnsi="Times New Roman"/>
                <w:sz w:val="20"/>
                <w:lang w:val="en-AU"/>
              </w:rPr>
              <w:t>A progressively larger system requires more workers. Uncapped recruitment expands available FTE, but the workforce gap remains above BAU as demand continues to compound.</w:t>
            </w:r>
          </w:p>
        </w:tc>
        <w:tc>
          <w:tcPr>
            <w:tcW w:w="2615" w:type="dxa"/>
            <w:tcMar>
              <w:left w:w="70" w:type="dxa"/>
              <w:right w:w="70" w:type="dxa"/>
            </w:tcMar>
          </w:tcPr>
          <w:p w14:paraId="52FAB8B7" w14:textId="77777777" w:rsidR="00D037EB" w:rsidRPr="00D037EB" w:rsidRDefault="00D037EB" w:rsidP="009944BD">
            <w:pPr>
              <w:widowControl w:val="0"/>
              <w:rPr>
                <w:lang w:val="en-AU"/>
              </w:rPr>
            </w:pPr>
            <w:r>
              <w:rPr>
                <w:rFonts w:ascii="Times New Roman" w:eastAsia="Times New Roman" w:hAnsi="Times New Roman"/>
                <w:sz w:val="20"/>
                <w:lang w:val="en-AU"/>
              </w:rPr>
              <w:t>Compounding need raises required FTE while the ceiling prevents recruitment from closing the gap. The model-defined recruitment signal is nearly twice its BAU mean.</w:t>
            </w:r>
          </w:p>
        </w:tc>
      </w:tr>
      <w:tr w:rsidR="00D037EB" w:rsidRPr="00D037EB" w14:paraId="17C5CA03" w14:textId="77777777" w:rsidTr="00557389">
        <w:trPr>
          <w:cantSplit/>
        </w:trPr>
        <w:tc>
          <w:tcPr>
            <w:tcW w:w="2500" w:type="dxa"/>
            <w:tcMar>
              <w:left w:w="70" w:type="dxa"/>
              <w:right w:w="70" w:type="dxa"/>
            </w:tcMar>
          </w:tcPr>
          <w:p w14:paraId="02E4F9CF" w14:textId="77777777" w:rsidR="00D037EB" w:rsidRPr="00D037EB" w:rsidRDefault="00D037EB" w:rsidP="009944BD">
            <w:pPr>
              <w:widowControl w:val="0"/>
              <w:rPr>
                <w:lang w:val="en-AU"/>
              </w:rPr>
            </w:pPr>
            <w:r>
              <w:rPr>
                <w:rFonts w:ascii="Times New Roman" w:eastAsia="Times New Roman" w:hAnsi="Times New Roman"/>
                <w:sz w:val="20"/>
                <w:lang w:val="en-AU"/>
              </w:rPr>
              <w:t>Workforce energy</w:t>
            </w:r>
          </w:p>
        </w:tc>
        <w:tc>
          <w:tcPr>
            <w:tcW w:w="2615" w:type="dxa"/>
            <w:tcMar>
              <w:left w:w="70" w:type="dxa"/>
              <w:right w:w="70" w:type="dxa"/>
            </w:tcMar>
          </w:tcPr>
          <w:p w14:paraId="25503146" w14:textId="52D16FC5" w:rsidR="00D037EB" w:rsidRPr="00D037EB" w:rsidRDefault="00D037EB" w:rsidP="009944BD">
            <w:pPr>
              <w:widowControl w:val="0"/>
              <w:rPr>
                <w:lang w:val="en-AU"/>
              </w:rPr>
            </w:pPr>
            <w:r>
              <w:rPr>
                <w:rFonts w:ascii="Times New Roman" w:eastAsia="Times New Roman" w:hAnsi="Times New Roman"/>
                <w:sz w:val="20"/>
                <w:lang w:val="en-AU"/>
              </w:rPr>
              <w:t xml:space="preserve">Workload pressure does not progressively </w:t>
            </w:r>
            <w:r w:rsidR="00D10F97">
              <w:rPr>
                <w:rFonts w:ascii="Times New Roman" w:eastAsia="Times New Roman" w:hAnsi="Times New Roman"/>
                <w:sz w:val="20"/>
                <w:lang w:val="en-AU"/>
              </w:rPr>
              <w:t>deteriorate</w:t>
            </w:r>
            <w:r>
              <w:rPr>
                <w:rFonts w:ascii="Times New Roman" w:eastAsia="Times New Roman" w:hAnsi="Times New Roman"/>
                <w:sz w:val="20"/>
                <w:lang w:val="en-AU"/>
              </w:rPr>
              <w:t>, so the ensemble-mean energy trajectory shows no continuing decline. Absolute 2050 energy nevertheless varies substantially across accepted runs.</w:t>
            </w:r>
          </w:p>
        </w:tc>
        <w:tc>
          <w:tcPr>
            <w:tcW w:w="2615" w:type="dxa"/>
            <w:tcMar>
              <w:left w:w="70" w:type="dxa"/>
              <w:right w:w="70" w:type="dxa"/>
            </w:tcMar>
          </w:tcPr>
          <w:p w14:paraId="107F1151" w14:textId="77777777" w:rsidR="00D037EB" w:rsidRPr="00D037EB" w:rsidRDefault="00D037EB" w:rsidP="009944BD">
            <w:pPr>
              <w:widowControl w:val="0"/>
              <w:rPr>
                <w:lang w:val="en-AU"/>
              </w:rPr>
            </w:pPr>
            <w:r>
              <w:rPr>
                <w:rFonts w:ascii="Times New Roman" w:eastAsia="Times New Roman" w:hAnsi="Times New Roman"/>
                <w:sz w:val="20"/>
                <w:lang w:val="en-AU"/>
              </w:rPr>
              <w:t>Wait pressure makes the remaining workforce stretch output above baseline. Sustained overwork lowers energy.</w:t>
            </w:r>
          </w:p>
        </w:tc>
        <w:tc>
          <w:tcPr>
            <w:tcW w:w="2615" w:type="dxa"/>
            <w:tcMar>
              <w:left w:w="70" w:type="dxa"/>
              <w:right w:w="70" w:type="dxa"/>
            </w:tcMar>
          </w:tcPr>
          <w:p w14:paraId="75C81475" w14:textId="77777777" w:rsidR="00D037EB" w:rsidRPr="00D037EB" w:rsidRDefault="00D037EB" w:rsidP="009944BD">
            <w:pPr>
              <w:widowControl w:val="0"/>
              <w:rPr>
                <w:lang w:val="en-AU"/>
              </w:rPr>
            </w:pPr>
            <w:r>
              <w:rPr>
                <w:rFonts w:ascii="Times New Roman" w:eastAsia="Times New Roman" w:hAnsi="Times New Roman"/>
                <w:sz w:val="20"/>
                <w:lang w:val="en-AU"/>
              </w:rPr>
              <w:t>Demand grows faster than recruitment at the margin, maintaining a small productivity stretch and leaving energy modestly below BAU.</w:t>
            </w:r>
          </w:p>
        </w:tc>
        <w:tc>
          <w:tcPr>
            <w:tcW w:w="2615" w:type="dxa"/>
            <w:tcMar>
              <w:left w:w="70" w:type="dxa"/>
              <w:right w:w="70" w:type="dxa"/>
            </w:tcMar>
          </w:tcPr>
          <w:p w14:paraId="778D25A9" w14:textId="77777777" w:rsidR="00D037EB" w:rsidRPr="00D037EB" w:rsidRDefault="00D037EB" w:rsidP="009944BD">
            <w:pPr>
              <w:widowControl w:val="0"/>
              <w:rPr>
                <w:lang w:val="en-AU"/>
              </w:rPr>
            </w:pPr>
            <w:r>
              <w:rPr>
                <w:rFonts w:ascii="Times New Roman" w:eastAsia="Times New Roman" w:hAnsi="Times New Roman"/>
                <w:sz w:val="20"/>
                <w:lang w:val="en-AU"/>
              </w:rPr>
              <w:t>The ceiling prevents capacity from catching the growing demand. Sustained productivity stretch lowers workforce energy more than either individual stress test.</w:t>
            </w:r>
          </w:p>
        </w:tc>
      </w:tr>
      <w:tr w:rsidR="00D037EB" w:rsidRPr="00D037EB" w14:paraId="1214D350" w14:textId="77777777" w:rsidTr="00557389">
        <w:trPr>
          <w:cantSplit/>
        </w:trPr>
        <w:tc>
          <w:tcPr>
            <w:tcW w:w="2500" w:type="dxa"/>
            <w:tcMar>
              <w:left w:w="70" w:type="dxa"/>
              <w:right w:w="70" w:type="dxa"/>
            </w:tcMar>
          </w:tcPr>
          <w:p w14:paraId="19E39229" w14:textId="77777777" w:rsidR="00D037EB" w:rsidRPr="00D037EB" w:rsidRDefault="00D037EB" w:rsidP="009944BD">
            <w:pPr>
              <w:widowControl w:val="0"/>
              <w:rPr>
                <w:lang w:val="en-AU"/>
              </w:rPr>
            </w:pPr>
            <w:r>
              <w:rPr>
                <w:rFonts w:ascii="Times New Roman" w:eastAsia="Times New Roman" w:hAnsi="Times New Roman"/>
                <w:sz w:val="20"/>
                <w:lang w:val="en-AU"/>
              </w:rPr>
              <w:t>Professional passion</w:t>
            </w:r>
          </w:p>
        </w:tc>
        <w:tc>
          <w:tcPr>
            <w:tcW w:w="2615" w:type="dxa"/>
            <w:tcMar>
              <w:left w:w="70" w:type="dxa"/>
              <w:right w:w="70" w:type="dxa"/>
            </w:tcMar>
          </w:tcPr>
          <w:p w14:paraId="4A6AE3CB" w14:textId="77777777" w:rsidR="00D037EB" w:rsidRPr="00D037EB" w:rsidRDefault="00D037EB" w:rsidP="009944BD">
            <w:pPr>
              <w:widowControl w:val="0"/>
              <w:rPr>
                <w:lang w:val="en-AU"/>
              </w:rPr>
            </w:pPr>
            <w:r>
              <w:rPr>
                <w:rFonts w:ascii="Times New Roman" w:eastAsia="Times New Roman" w:hAnsi="Times New Roman"/>
                <w:sz w:val="20"/>
                <w:lang w:val="en-AU"/>
              </w:rPr>
              <w:t>Stable energy and perceived performance keep passion on its BAU path.</w:t>
            </w:r>
          </w:p>
        </w:tc>
        <w:tc>
          <w:tcPr>
            <w:tcW w:w="2615" w:type="dxa"/>
            <w:tcMar>
              <w:left w:w="70" w:type="dxa"/>
              <w:right w:w="70" w:type="dxa"/>
            </w:tcMar>
          </w:tcPr>
          <w:p w14:paraId="01B1C5BB" w14:textId="77777777" w:rsidR="00D037EB" w:rsidRPr="00D037EB" w:rsidRDefault="00D037EB" w:rsidP="009944BD">
            <w:pPr>
              <w:widowControl w:val="0"/>
              <w:rPr>
                <w:lang w:val="en-AU"/>
              </w:rPr>
            </w:pPr>
            <w:r>
              <w:rPr>
                <w:rFonts w:ascii="Times New Roman" w:eastAsia="Times New Roman" w:hAnsi="Times New Roman"/>
                <w:sz w:val="20"/>
                <w:lang w:val="en-AU"/>
              </w:rPr>
              <w:t>Lower energy and poorer perceived performance pull passion down after a delay.</w:t>
            </w:r>
          </w:p>
        </w:tc>
        <w:tc>
          <w:tcPr>
            <w:tcW w:w="2615" w:type="dxa"/>
            <w:tcMar>
              <w:left w:w="70" w:type="dxa"/>
              <w:right w:w="70" w:type="dxa"/>
            </w:tcMar>
          </w:tcPr>
          <w:p w14:paraId="1BFB4864" w14:textId="5FDB109D" w:rsidR="00D037EB" w:rsidRPr="00D037EB" w:rsidRDefault="00557389" w:rsidP="009944BD">
            <w:pPr>
              <w:widowControl w:val="0"/>
              <w:rPr>
                <w:lang w:val="en-AU"/>
              </w:rPr>
            </w:pPr>
            <w:r>
              <w:rPr>
                <w:rFonts w:ascii="Times New Roman" w:eastAsia="Times New Roman" w:hAnsi="Times New Roman"/>
                <w:sz w:val="20"/>
                <w:lang w:val="en-AU"/>
              </w:rPr>
              <w:t>Small, persistent</w:t>
            </w:r>
            <w:r w:rsidR="00D037EB">
              <w:rPr>
                <w:rFonts w:ascii="Times New Roman" w:eastAsia="Times New Roman" w:hAnsi="Times New Roman"/>
                <w:sz w:val="20"/>
                <w:lang w:val="en-AU"/>
              </w:rPr>
              <w:t xml:space="preserve"> reductions in energy and perceived performance keep passion slightly below BAU rather than allowing full convergence.</w:t>
            </w:r>
          </w:p>
        </w:tc>
        <w:tc>
          <w:tcPr>
            <w:tcW w:w="2615" w:type="dxa"/>
            <w:tcMar>
              <w:left w:w="70" w:type="dxa"/>
              <w:right w:w="70" w:type="dxa"/>
            </w:tcMar>
          </w:tcPr>
          <w:p w14:paraId="7CEAB4C9" w14:textId="77777777" w:rsidR="00D037EB" w:rsidRPr="00D037EB" w:rsidRDefault="00D037EB" w:rsidP="009944BD">
            <w:pPr>
              <w:widowControl w:val="0"/>
              <w:rPr>
                <w:lang w:val="en-AU"/>
              </w:rPr>
            </w:pPr>
            <w:r>
              <w:rPr>
                <w:rFonts w:ascii="Times New Roman" w:eastAsia="Times New Roman" w:hAnsi="Times New Roman"/>
                <w:sz w:val="20"/>
                <w:lang w:val="en-AU"/>
              </w:rPr>
              <w:t>Lower energy and poorer perceived system performance combine after a delay, pulling professional passion further below BAU.</w:t>
            </w:r>
          </w:p>
        </w:tc>
      </w:tr>
      <w:tr w:rsidR="00D037EB" w:rsidRPr="00D037EB" w14:paraId="60119EC2" w14:textId="77777777" w:rsidTr="00557389">
        <w:trPr>
          <w:cantSplit/>
        </w:trPr>
        <w:tc>
          <w:tcPr>
            <w:tcW w:w="2500" w:type="dxa"/>
            <w:tcMar>
              <w:left w:w="70" w:type="dxa"/>
              <w:right w:w="70" w:type="dxa"/>
            </w:tcMar>
          </w:tcPr>
          <w:p w14:paraId="43FB6A45" w14:textId="77777777" w:rsidR="00D037EB" w:rsidRPr="00D037EB" w:rsidRDefault="00D037EB" w:rsidP="009944BD">
            <w:pPr>
              <w:widowControl w:val="0"/>
              <w:rPr>
                <w:lang w:val="en-AU"/>
              </w:rPr>
            </w:pPr>
            <w:r>
              <w:rPr>
                <w:rFonts w:ascii="Times New Roman" w:eastAsia="Times New Roman" w:hAnsi="Times New Roman"/>
                <w:sz w:val="20"/>
                <w:lang w:val="en-AU"/>
              </w:rPr>
              <w:lastRenderedPageBreak/>
              <w:t>Service quality</w:t>
            </w:r>
          </w:p>
        </w:tc>
        <w:tc>
          <w:tcPr>
            <w:tcW w:w="2615" w:type="dxa"/>
            <w:tcMar>
              <w:left w:w="70" w:type="dxa"/>
              <w:right w:w="70" w:type="dxa"/>
            </w:tcMar>
          </w:tcPr>
          <w:p w14:paraId="1F28BA7A" w14:textId="77777777" w:rsidR="00D037EB" w:rsidRPr="00D037EB" w:rsidRDefault="00D037EB" w:rsidP="009944BD">
            <w:pPr>
              <w:widowControl w:val="0"/>
              <w:rPr>
                <w:lang w:val="en-AU"/>
              </w:rPr>
            </w:pPr>
            <w:r>
              <w:rPr>
                <w:rFonts w:ascii="Times New Roman" w:eastAsia="Times New Roman" w:hAnsi="Times New Roman"/>
                <w:sz w:val="20"/>
                <w:lang w:val="en-AU"/>
              </w:rPr>
              <w:t>Stable passion and workforce experience prevent progressive deterioration.</w:t>
            </w:r>
          </w:p>
        </w:tc>
        <w:tc>
          <w:tcPr>
            <w:tcW w:w="2615" w:type="dxa"/>
            <w:tcMar>
              <w:left w:w="70" w:type="dxa"/>
              <w:right w:w="70" w:type="dxa"/>
            </w:tcMar>
          </w:tcPr>
          <w:p w14:paraId="788692E3" w14:textId="77777777" w:rsidR="00D037EB" w:rsidRPr="00D037EB" w:rsidRDefault="00D037EB" w:rsidP="009944BD">
            <w:pPr>
              <w:widowControl w:val="0"/>
              <w:rPr>
                <w:lang w:val="en-AU"/>
              </w:rPr>
            </w:pPr>
            <w:r>
              <w:rPr>
                <w:rFonts w:ascii="Times New Roman" w:eastAsia="Times New Roman" w:hAnsi="Times New Roman"/>
                <w:sz w:val="20"/>
                <w:lang w:val="en-AU"/>
              </w:rPr>
              <w:t>Lower passion and reduced workforce experience following higher turnover pull quality down after a further delay.</w:t>
            </w:r>
          </w:p>
        </w:tc>
        <w:tc>
          <w:tcPr>
            <w:tcW w:w="2615" w:type="dxa"/>
            <w:tcMar>
              <w:left w:w="70" w:type="dxa"/>
              <w:right w:w="70" w:type="dxa"/>
            </w:tcMar>
          </w:tcPr>
          <w:p w14:paraId="5DBE13FC" w14:textId="241600A8" w:rsidR="00D037EB" w:rsidRPr="00D037EB" w:rsidRDefault="00D037EB" w:rsidP="009944BD">
            <w:pPr>
              <w:widowControl w:val="0"/>
              <w:rPr>
                <w:lang w:val="en-AU"/>
              </w:rPr>
            </w:pPr>
            <w:r>
              <w:rPr>
                <w:rFonts w:ascii="Times New Roman" w:eastAsia="Times New Roman" w:hAnsi="Times New Roman"/>
                <w:sz w:val="20"/>
                <w:lang w:val="en-AU"/>
              </w:rPr>
              <w:t xml:space="preserve">The modest passion and experience deficits produce a </w:t>
            </w:r>
            <w:r w:rsidR="00181831">
              <w:rPr>
                <w:rFonts w:ascii="Times New Roman" w:eastAsia="Times New Roman" w:hAnsi="Times New Roman"/>
                <w:sz w:val="20"/>
                <w:lang w:val="en-AU"/>
              </w:rPr>
              <w:t>small, delayed</w:t>
            </w:r>
            <w:r>
              <w:rPr>
                <w:rFonts w:ascii="Times New Roman" w:eastAsia="Times New Roman" w:hAnsi="Times New Roman"/>
                <w:sz w:val="20"/>
                <w:lang w:val="en-AU"/>
              </w:rPr>
              <w:t xml:space="preserve"> quality reduction that remains present in 2050.</w:t>
            </w:r>
          </w:p>
        </w:tc>
        <w:tc>
          <w:tcPr>
            <w:tcW w:w="2615" w:type="dxa"/>
            <w:tcMar>
              <w:left w:w="70" w:type="dxa"/>
              <w:right w:w="70" w:type="dxa"/>
            </w:tcMar>
          </w:tcPr>
          <w:p w14:paraId="53266E8A" w14:textId="77777777" w:rsidR="00D037EB" w:rsidRPr="00D037EB" w:rsidRDefault="00D037EB" w:rsidP="009944BD">
            <w:pPr>
              <w:widowControl w:val="0"/>
              <w:rPr>
                <w:lang w:val="en-AU"/>
              </w:rPr>
            </w:pPr>
            <w:r>
              <w:rPr>
                <w:rFonts w:ascii="Times New Roman" w:eastAsia="Times New Roman" w:hAnsi="Times New Roman"/>
                <w:sz w:val="20"/>
                <w:lang w:val="en-AU"/>
              </w:rPr>
              <w:t>Lower passion and reduced accumulated experience following higher turnover pull service quality below BAU after a further delay.</w:t>
            </w:r>
          </w:p>
        </w:tc>
      </w:tr>
      <w:tr w:rsidR="00D037EB" w:rsidRPr="00D037EB" w14:paraId="55B237B9" w14:textId="77777777" w:rsidTr="00557389">
        <w:trPr>
          <w:cantSplit/>
        </w:trPr>
        <w:tc>
          <w:tcPr>
            <w:tcW w:w="2500" w:type="dxa"/>
            <w:tcMar>
              <w:left w:w="70" w:type="dxa"/>
              <w:right w:w="70" w:type="dxa"/>
            </w:tcMar>
          </w:tcPr>
          <w:p w14:paraId="1F046E1E" w14:textId="77777777" w:rsidR="00D037EB" w:rsidRPr="00D037EB" w:rsidRDefault="00D037EB" w:rsidP="009944BD">
            <w:pPr>
              <w:widowControl w:val="0"/>
              <w:rPr>
                <w:lang w:val="en-AU"/>
              </w:rPr>
            </w:pPr>
            <w:r>
              <w:rPr>
                <w:rFonts w:ascii="Times New Roman" w:eastAsia="Times New Roman" w:hAnsi="Times New Roman"/>
                <w:sz w:val="20"/>
                <w:lang w:val="en-AU"/>
              </w:rPr>
              <w:t>Relative turnover intention</w:t>
            </w:r>
          </w:p>
        </w:tc>
        <w:tc>
          <w:tcPr>
            <w:tcW w:w="2615" w:type="dxa"/>
            <w:tcMar>
              <w:left w:w="70" w:type="dxa"/>
              <w:right w:w="70" w:type="dxa"/>
            </w:tcMar>
          </w:tcPr>
          <w:p w14:paraId="08012F1F" w14:textId="532F7186" w:rsidR="00D037EB" w:rsidRPr="00D037EB" w:rsidRDefault="00D037EB" w:rsidP="009944BD">
            <w:pPr>
              <w:widowControl w:val="0"/>
              <w:rPr>
                <w:lang w:val="en-AU"/>
              </w:rPr>
            </w:pPr>
            <w:r>
              <w:rPr>
                <w:rFonts w:ascii="Times New Roman" w:eastAsia="Times New Roman" w:hAnsi="Times New Roman"/>
                <w:sz w:val="20"/>
                <w:lang w:val="en-AU"/>
              </w:rPr>
              <w:t xml:space="preserve">Passion remains close to its adapting reference, keeping turnover intention near </w:t>
            </w:r>
            <w:r w:rsidR="00181831">
              <w:rPr>
                <w:rFonts w:ascii="Times New Roman" w:eastAsia="Times New Roman" w:hAnsi="Times New Roman"/>
                <w:sz w:val="20"/>
                <w:lang w:val="en-AU"/>
              </w:rPr>
              <w:t>baseline.</w:t>
            </w:r>
          </w:p>
        </w:tc>
        <w:tc>
          <w:tcPr>
            <w:tcW w:w="2615" w:type="dxa"/>
            <w:tcMar>
              <w:left w:w="70" w:type="dxa"/>
              <w:right w:w="70" w:type="dxa"/>
            </w:tcMar>
          </w:tcPr>
          <w:p w14:paraId="307970E9" w14:textId="77777777" w:rsidR="00D037EB" w:rsidRPr="00D037EB" w:rsidRDefault="00D037EB" w:rsidP="009944BD">
            <w:pPr>
              <w:widowControl w:val="0"/>
              <w:rPr>
                <w:lang w:val="en-AU"/>
              </w:rPr>
            </w:pPr>
            <w:r>
              <w:rPr>
                <w:rFonts w:ascii="Times New Roman" w:eastAsia="Times New Roman" w:hAnsi="Times New Roman"/>
                <w:sz w:val="20"/>
                <w:lang w:val="en-AU"/>
              </w:rPr>
              <w:t>Passion falls relative to its reference, raising turnover intention and shortening average tenure.</w:t>
            </w:r>
          </w:p>
        </w:tc>
        <w:tc>
          <w:tcPr>
            <w:tcW w:w="2615" w:type="dxa"/>
            <w:tcMar>
              <w:left w:w="70" w:type="dxa"/>
              <w:right w:w="70" w:type="dxa"/>
            </w:tcMar>
          </w:tcPr>
          <w:p w14:paraId="3DED5A69" w14:textId="41A49542" w:rsidR="00D037EB" w:rsidRPr="00D037EB" w:rsidRDefault="00D037EB" w:rsidP="009944BD">
            <w:pPr>
              <w:widowControl w:val="0"/>
              <w:rPr>
                <w:lang w:val="en-AU"/>
              </w:rPr>
            </w:pPr>
            <w:r>
              <w:rPr>
                <w:rFonts w:ascii="Times New Roman" w:eastAsia="Times New Roman" w:hAnsi="Times New Roman"/>
                <w:sz w:val="20"/>
                <w:lang w:val="en-AU"/>
              </w:rPr>
              <w:t xml:space="preserve">Passion remains slightly below its adapting reference, producing a </w:t>
            </w:r>
            <w:r w:rsidR="00557389">
              <w:rPr>
                <w:rFonts w:ascii="Times New Roman" w:eastAsia="Times New Roman" w:hAnsi="Times New Roman"/>
                <w:sz w:val="20"/>
                <w:lang w:val="en-AU"/>
              </w:rPr>
              <w:t>small, persistent</w:t>
            </w:r>
            <w:r>
              <w:rPr>
                <w:rFonts w:ascii="Times New Roman" w:eastAsia="Times New Roman" w:hAnsi="Times New Roman"/>
                <w:sz w:val="20"/>
                <w:lang w:val="en-AU"/>
              </w:rPr>
              <w:t xml:space="preserve"> increase in turnover intention.</w:t>
            </w:r>
          </w:p>
        </w:tc>
        <w:tc>
          <w:tcPr>
            <w:tcW w:w="2615" w:type="dxa"/>
            <w:tcMar>
              <w:left w:w="70" w:type="dxa"/>
              <w:right w:w="70" w:type="dxa"/>
            </w:tcMar>
          </w:tcPr>
          <w:p w14:paraId="046B9727" w14:textId="77777777" w:rsidR="00D037EB" w:rsidRPr="00D037EB" w:rsidRDefault="00D037EB" w:rsidP="009944BD">
            <w:pPr>
              <w:widowControl w:val="0"/>
              <w:rPr>
                <w:lang w:val="en-AU"/>
              </w:rPr>
            </w:pPr>
            <w:r>
              <w:rPr>
                <w:rFonts w:ascii="Times New Roman" w:eastAsia="Times New Roman" w:hAnsi="Times New Roman"/>
                <w:sz w:val="20"/>
                <w:lang w:val="en-AU"/>
              </w:rPr>
              <w:t>Passion falls relative to its adapting reference, increasing turnover intention and reinforcing the pressure on a recruitment process that is already capped.</w:t>
            </w:r>
          </w:p>
        </w:tc>
      </w:tr>
      <w:tr w:rsidR="00D037EB" w:rsidRPr="00D037EB" w14:paraId="2ADEF29B" w14:textId="77777777" w:rsidTr="00557389">
        <w:trPr>
          <w:cantSplit/>
        </w:trPr>
        <w:tc>
          <w:tcPr>
            <w:tcW w:w="2500" w:type="dxa"/>
            <w:tcMar>
              <w:left w:w="70" w:type="dxa"/>
              <w:right w:w="70" w:type="dxa"/>
            </w:tcMar>
          </w:tcPr>
          <w:p w14:paraId="31109C49" w14:textId="77777777" w:rsidR="00D037EB" w:rsidRPr="00D037EB" w:rsidRDefault="00D037EB" w:rsidP="009944BD">
            <w:pPr>
              <w:widowControl w:val="0"/>
              <w:rPr>
                <w:lang w:val="en-AU"/>
              </w:rPr>
            </w:pPr>
            <w:r>
              <w:rPr>
                <w:rFonts w:ascii="Times New Roman" w:eastAsia="Times New Roman" w:hAnsi="Times New Roman"/>
                <w:sz w:val="20"/>
                <w:lang w:val="en-AU"/>
              </w:rPr>
              <w:t>Adjusted average time in position</w:t>
            </w:r>
          </w:p>
        </w:tc>
        <w:tc>
          <w:tcPr>
            <w:tcW w:w="2615" w:type="dxa"/>
            <w:tcMar>
              <w:left w:w="70" w:type="dxa"/>
              <w:right w:w="70" w:type="dxa"/>
            </w:tcMar>
          </w:tcPr>
          <w:p w14:paraId="65485B75" w14:textId="79EB375F" w:rsidR="00D037EB" w:rsidRPr="00D037EB" w:rsidRDefault="00D037EB" w:rsidP="009944BD">
            <w:pPr>
              <w:widowControl w:val="0"/>
              <w:rPr>
                <w:lang w:val="en-AU"/>
              </w:rPr>
            </w:pPr>
            <w:r>
              <w:rPr>
                <w:rFonts w:ascii="Times New Roman" w:eastAsia="Times New Roman" w:hAnsi="Times New Roman"/>
                <w:sz w:val="20"/>
                <w:lang w:val="en-AU"/>
              </w:rPr>
              <w:t>Turnover intention modifies the baseline tenure parameter</w:t>
            </w:r>
            <w:r w:rsidR="00CD6B0F">
              <w:rPr>
                <w:rFonts w:ascii="Times New Roman" w:eastAsia="Times New Roman" w:hAnsi="Times New Roman"/>
                <w:sz w:val="20"/>
                <w:lang w:val="en-AU"/>
              </w:rPr>
              <w:t>.</w:t>
            </w:r>
          </w:p>
        </w:tc>
        <w:tc>
          <w:tcPr>
            <w:tcW w:w="2615" w:type="dxa"/>
            <w:tcMar>
              <w:left w:w="70" w:type="dxa"/>
              <w:right w:w="70" w:type="dxa"/>
            </w:tcMar>
          </w:tcPr>
          <w:p w14:paraId="23E98786" w14:textId="77777777" w:rsidR="00D037EB" w:rsidRPr="00D037EB" w:rsidRDefault="00D037EB" w:rsidP="009944BD">
            <w:pPr>
              <w:widowControl w:val="0"/>
              <w:rPr>
                <w:lang w:val="en-AU"/>
              </w:rPr>
            </w:pPr>
            <w:r>
              <w:rPr>
                <w:rFonts w:ascii="Times New Roman" w:eastAsia="Times New Roman" w:hAnsi="Times New Roman"/>
                <w:sz w:val="20"/>
                <w:lang w:val="en-AU"/>
              </w:rPr>
              <w:t>Higher turnover intention shortens adjusted tenure, increasing exits and the recruitment required merely to replace departing FTE.</w:t>
            </w:r>
          </w:p>
        </w:tc>
        <w:tc>
          <w:tcPr>
            <w:tcW w:w="2615" w:type="dxa"/>
            <w:tcMar>
              <w:left w:w="70" w:type="dxa"/>
              <w:right w:w="70" w:type="dxa"/>
            </w:tcMar>
          </w:tcPr>
          <w:p w14:paraId="5100E85C" w14:textId="77777777" w:rsidR="00D037EB" w:rsidRPr="00D037EB" w:rsidRDefault="00D037EB" w:rsidP="009944BD">
            <w:pPr>
              <w:widowControl w:val="0"/>
              <w:rPr>
                <w:lang w:val="en-AU"/>
              </w:rPr>
            </w:pPr>
            <w:r>
              <w:rPr>
                <w:rFonts w:ascii="Times New Roman" w:eastAsia="Times New Roman" w:hAnsi="Times New Roman"/>
                <w:sz w:val="20"/>
                <w:lang w:val="en-AU"/>
              </w:rPr>
              <w:t>The small rise in turnover intention slightly shortens adjusted tenure, adding modest replacement pressure while onset continues to compound.</w:t>
            </w:r>
          </w:p>
        </w:tc>
        <w:tc>
          <w:tcPr>
            <w:tcW w:w="2615" w:type="dxa"/>
            <w:tcMar>
              <w:left w:w="70" w:type="dxa"/>
              <w:right w:w="70" w:type="dxa"/>
            </w:tcMar>
          </w:tcPr>
          <w:p w14:paraId="2E925FAD" w14:textId="77777777" w:rsidR="00D037EB" w:rsidRPr="00D037EB" w:rsidRDefault="00D037EB" w:rsidP="009944BD">
            <w:pPr>
              <w:widowControl w:val="0"/>
              <w:rPr>
                <w:lang w:val="en-AU"/>
              </w:rPr>
            </w:pPr>
            <w:r>
              <w:rPr>
                <w:rFonts w:ascii="Times New Roman" w:eastAsia="Times New Roman" w:hAnsi="Times New Roman"/>
                <w:sz w:val="20"/>
                <w:lang w:val="en-AU"/>
              </w:rPr>
              <w:t>Higher turnover intention shortens adjusted tenure, increasing departures and the recruitment required merely to replace FTE while population need continues to grow.</w:t>
            </w:r>
          </w:p>
        </w:tc>
      </w:tr>
      <w:tr w:rsidR="00D037EB" w:rsidRPr="00D037EB" w14:paraId="643092DC" w14:textId="77777777" w:rsidTr="00557389">
        <w:trPr>
          <w:cantSplit/>
        </w:trPr>
        <w:tc>
          <w:tcPr>
            <w:tcW w:w="2500" w:type="dxa"/>
            <w:tcMar>
              <w:left w:w="70" w:type="dxa"/>
              <w:right w:w="70" w:type="dxa"/>
            </w:tcMar>
          </w:tcPr>
          <w:p w14:paraId="460DEE56" w14:textId="77777777" w:rsidR="00D037EB" w:rsidRPr="00D037EB" w:rsidRDefault="00D037EB" w:rsidP="009944BD">
            <w:pPr>
              <w:widowControl w:val="0"/>
              <w:rPr>
                <w:lang w:val="en-AU"/>
              </w:rPr>
            </w:pPr>
            <w:r>
              <w:rPr>
                <w:rFonts w:ascii="Times New Roman" w:eastAsia="Times New Roman" w:hAnsi="Times New Roman"/>
                <w:sz w:val="20"/>
                <w:lang w:val="en-AU"/>
              </w:rPr>
              <w:t>Societal perception of waiting</w:t>
            </w:r>
          </w:p>
        </w:tc>
        <w:tc>
          <w:tcPr>
            <w:tcW w:w="2615" w:type="dxa"/>
            <w:tcMar>
              <w:left w:w="70" w:type="dxa"/>
              <w:right w:w="70" w:type="dxa"/>
            </w:tcMar>
          </w:tcPr>
          <w:p w14:paraId="1F7D44C4" w14:textId="388C5948" w:rsidR="00D037EB" w:rsidRPr="00D037EB" w:rsidRDefault="00D037EB" w:rsidP="009944BD">
            <w:pPr>
              <w:widowControl w:val="0"/>
              <w:rPr>
                <w:lang w:val="en-AU"/>
              </w:rPr>
            </w:pPr>
            <w:r>
              <w:rPr>
                <w:rFonts w:ascii="Times New Roman" w:eastAsia="Times New Roman" w:hAnsi="Times New Roman"/>
                <w:sz w:val="20"/>
                <w:lang w:val="en-AU"/>
              </w:rPr>
              <w:t xml:space="preserve">A further delayed </w:t>
            </w:r>
            <w:r w:rsidR="00CD6B0F">
              <w:rPr>
                <w:rFonts w:ascii="Times New Roman" w:eastAsia="Times New Roman" w:hAnsi="Times New Roman"/>
                <w:sz w:val="20"/>
                <w:lang w:val="en-AU"/>
              </w:rPr>
              <w:t xml:space="preserve">societal </w:t>
            </w:r>
            <w:r>
              <w:rPr>
                <w:rFonts w:ascii="Times New Roman" w:eastAsia="Times New Roman" w:hAnsi="Times New Roman"/>
                <w:sz w:val="20"/>
                <w:lang w:val="en-AU"/>
              </w:rPr>
              <w:t>perception signal remains slightly favourable on average and supports presentations above normal expectation.</w:t>
            </w:r>
          </w:p>
        </w:tc>
        <w:tc>
          <w:tcPr>
            <w:tcW w:w="2615" w:type="dxa"/>
            <w:tcMar>
              <w:left w:w="70" w:type="dxa"/>
              <w:right w:w="70" w:type="dxa"/>
            </w:tcMar>
          </w:tcPr>
          <w:p w14:paraId="23C3DFC8" w14:textId="53B3693E" w:rsidR="00D037EB" w:rsidRPr="00D037EB" w:rsidRDefault="00D037EB" w:rsidP="009944BD">
            <w:pPr>
              <w:widowControl w:val="0"/>
              <w:rPr>
                <w:lang w:val="en-AU"/>
              </w:rPr>
            </w:pPr>
            <w:r>
              <w:rPr>
                <w:rFonts w:ascii="Times New Roman" w:eastAsia="Times New Roman" w:hAnsi="Times New Roman"/>
                <w:sz w:val="20"/>
                <w:lang w:val="en-AU"/>
              </w:rPr>
              <w:t xml:space="preserve">Worsening relative waiting is transmitted after a delay to </w:t>
            </w:r>
            <w:r w:rsidR="00CD6B0F">
              <w:rPr>
                <w:rFonts w:ascii="Times New Roman" w:eastAsia="Times New Roman" w:hAnsi="Times New Roman"/>
                <w:sz w:val="20"/>
                <w:lang w:val="en-AU"/>
              </w:rPr>
              <w:t xml:space="preserve">societal </w:t>
            </w:r>
            <w:r>
              <w:rPr>
                <w:rFonts w:ascii="Times New Roman" w:eastAsia="Times New Roman" w:hAnsi="Times New Roman"/>
                <w:sz w:val="20"/>
                <w:lang w:val="en-AU"/>
              </w:rPr>
              <w:t>perception, suppressing care-seeking before primary-care entry.</w:t>
            </w:r>
          </w:p>
        </w:tc>
        <w:tc>
          <w:tcPr>
            <w:tcW w:w="2615" w:type="dxa"/>
            <w:tcMar>
              <w:left w:w="70" w:type="dxa"/>
              <w:right w:w="70" w:type="dxa"/>
            </w:tcMar>
          </w:tcPr>
          <w:p w14:paraId="2C6CC78F" w14:textId="77777777" w:rsidR="00D037EB" w:rsidRPr="00D037EB" w:rsidRDefault="00D037EB" w:rsidP="009944BD">
            <w:pPr>
              <w:widowControl w:val="0"/>
              <w:rPr>
                <w:lang w:val="en-AU"/>
              </w:rPr>
            </w:pPr>
            <w:r>
              <w:rPr>
                <w:rFonts w:ascii="Times New Roman" w:eastAsia="Times New Roman" w:hAnsi="Times New Roman"/>
                <w:sz w:val="20"/>
                <w:lang w:val="en-AU"/>
              </w:rPr>
              <w:t>The continuing small wait-time deficit leaves societal perception modestly worse than BAU, sustaining a small increase in care-seeking suppression.</w:t>
            </w:r>
          </w:p>
        </w:tc>
        <w:tc>
          <w:tcPr>
            <w:tcW w:w="2615" w:type="dxa"/>
            <w:tcMar>
              <w:left w:w="70" w:type="dxa"/>
              <w:right w:w="70" w:type="dxa"/>
            </w:tcMar>
          </w:tcPr>
          <w:p w14:paraId="406D45A4" w14:textId="77777777" w:rsidR="00D037EB" w:rsidRPr="00D037EB" w:rsidRDefault="00D037EB" w:rsidP="009944BD">
            <w:pPr>
              <w:widowControl w:val="0"/>
              <w:rPr>
                <w:lang w:val="en-AU"/>
              </w:rPr>
            </w:pPr>
            <w:r>
              <w:rPr>
                <w:rFonts w:ascii="Times New Roman" w:eastAsia="Times New Roman" w:hAnsi="Times New Roman"/>
                <w:sz w:val="20"/>
                <w:lang w:val="en-AU"/>
              </w:rPr>
              <w:t>Worse relative waiting is transmitted after a further delay to societal perception, sustaining stronger care-seeking suppression despite a visible queue close to BAU.</w:t>
            </w:r>
          </w:p>
        </w:tc>
      </w:tr>
    </w:tbl>
    <w:p w14:paraId="7C1294AF" w14:textId="53CADD7F" w:rsidR="008959E8" w:rsidRPr="007E4152" w:rsidRDefault="00D037EB" w:rsidP="009944BD">
      <w:pPr>
        <w:widowControl w:val="0"/>
        <w:rPr>
          <w:iCs/>
          <w:lang w:val="en-AU"/>
        </w:rPr>
      </w:pPr>
      <w:r w:rsidRPr="00E50952">
        <w:rPr>
          <w:rFonts w:ascii="Times New Roman" w:eastAsia="Times New Roman" w:hAnsi="Times New Roman"/>
          <w:i/>
          <w:lang w:val="en-AU"/>
        </w:rPr>
        <w:t>Note.</w:t>
      </w:r>
      <w:r w:rsidRPr="007E4152">
        <w:rPr>
          <w:rFonts w:ascii="Times New Roman" w:eastAsia="Times New Roman" w:hAnsi="Times New Roman"/>
          <w:iCs/>
          <w:lang w:val="en-AU"/>
        </w:rPr>
        <w:t xml:space="preserve"> BAU, business as usual; FTE, full-time equivalent; SDI, supply-demand indicator. Corresponding January 2050 means, central 95% UIs and matched scenario-minus-BAU differences are reported in Table 5.</w:t>
      </w:r>
    </w:p>
    <w:sectPr w:rsidR="008959E8" w:rsidRPr="007E4152" w:rsidSect="00D037EB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7EB"/>
    <w:rsid w:val="0014585C"/>
    <w:rsid w:val="00181831"/>
    <w:rsid w:val="002323A6"/>
    <w:rsid w:val="00315607"/>
    <w:rsid w:val="00527170"/>
    <w:rsid w:val="00554737"/>
    <w:rsid w:val="00557389"/>
    <w:rsid w:val="00590AC5"/>
    <w:rsid w:val="005B7FE3"/>
    <w:rsid w:val="006563DE"/>
    <w:rsid w:val="007033EF"/>
    <w:rsid w:val="007343A0"/>
    <w:rsid w:val="007712EB"/>
    <w:rsid w:val="007E4152"/>
    <w:rsid w:val="008959E8"/>
    <w:rsid w:val="008B08EB"/>
    <w:rsid w:val="008B1E6E"/>
    <w:rsid w:val="009944BD"/>
    <w:rsid w:val="009B7B43"/>
    <w:rsid w:val="009C0D78"/>
    <w:rsid w:val="009E474F"/>
    <w:rsid w:val="00A21250"/>
    <w:rsid w:val="00A21B94"/>
    <w:rsid w:val="00A516CD"/>
    <w:rsid w:val="00C62239"/>
    <w:rsid w:val="00CD6B0F"/>
    <w:rsid w:val="00D023D0"/>
    <w:rsid w:val="00D037EB"/>
    <w:rsid w:val="00D10F97"/>
    <w:rsid w:val="00DD0ABA"/>
    <w:rsid w:val="00E27DF5"/>
    <w:rsid w:val="00E50952"/>
    <w:rsid w:val="00EF2B53"/>
    <w:rsid w:val="00F0210D"/>
    <w:rsid w:val="00F5709D"/>
    <w:rsid w:val="00FA5446"/>
    <w:rsid w:val="00FD1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F9295"/>
  <w15:chartTrackingRefBased/>
  <w15:docId w15:val="{297538EF-D2BB-479D-B88A-6E5D70FE4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37EB"/>
    <w:pPr>
      <w:spacing w:after="200" w:line="276" w:lineRule="auto"/>
    </w:pPr>
    <w:rPr>
      <w:rFonts w:ascii="Aptos" w:eastAsiaTheme="minorEastAsia" w:hAnsi="Aptos"/>
      <w:kern w:val="0"/>
      <w:sz w:val="18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037E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AU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37E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AU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37E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AU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37E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AU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37E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AU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37EB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AU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37EB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AU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37EB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AU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37EB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AU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37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37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37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37E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37E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37E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37E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37E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37E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37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AU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037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37E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AU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037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37EB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:lang w:val="en-AU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037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37EB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 w:val="24"/>
      <w:szCs w:val="24"/>
      <w:lang w:val="en-AU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037E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37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szCs w:val="24"/>
      <w:lang w:val="en-AU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37E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37E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D037EB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1407</Words>
  <Characters>8026</Characters>
  <Application>Microsoft Office Word</Application>
  <DocSecurity>0</DocSecurity>
  <Lines>66</Lines>
  <Paragraphs>18</Paragraphs>
  <ScaleCrop>false</ScaleCrop>
  <Company>The University of Queensland</Company>
  <LinksUpToDate>false</LinksUpToDate>
  <CharactersWithSpaces>9415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Hulme</dc:creator>
  <cp:keywords/>
  <dc:description/>
  <cp:lastModifiedBy>Adam Hulme</cp:lastModifiedBy>
  <cp:revision>12</cp:revision>
  <dcterms:created xsi:type="dcterms:W3CDTF">2026-08-12T00:38:00Z</dcterms:created>
  <dcterms:modified xsi:type="dcterms:W3CDTF">2026-10-16T07:03:00Z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f488380-630a-4f55-a077-a19445e3f360_Enabled">
    <vt:lpwstr>true</vt:lpwstr>
  </property>
  <property fmtid="{D5CDD505-2E9C-101B-9397-08002B2CF9AE}" pid="3" name="MSIP_Label_0f488380-630a-4f55-a077-a19445e3f360_SetDate">
    <vt:lpwstr>2026-08-04T02:36:22Z</vt:lpwstr>
  </property>
  <property fmtid="{D5CDD505-2E9C-101B-9397-08002B2CF9AE}" pid="4" name="MSIP_Label_0f488380-630a-4f55-a077-a19445e3f360_Method">
    <vt:lpwstr>Standard</vt:lpwstr>
  </property>
  <property fmtid="{D5CDD505-2E9C-101B-9397-08002B2CF9AE}" pid="5" name="MSIP_Label_0f488380-630a-4f55-a077-a19445e3f360_Name">
    <vt:lpwstr>OFFICIAL - INTERNAL</vt:lpwstr>
  </property>
  <property fmtid="{D5CDD505-2E9C-101B-9397-08002B2CF9AE}" pid="6" name="MSIP_Label_0f488380-630a-4f55-a077-a19445e3f360_SiteId">
    <vt:lpwstr>b6e377cf-9db3-46cb-91a2-fad9605bb15c</vt:lpwstr>
  </property>
  <property fmtid="{D5CDD505-2E9C-101B-9397-08002B2CF9AE}" pid="7" name="MSIP_Label_0f488380-630a-4f55-a077-a19445e3f360_ActionId">
    <vt:lpwstr>1638cf54-11de-443b-9f51-02bf40b6c110</vt:lpwstr>
  </property>
  <property fmtid="{D5CDD505-2E9C-101B-9397-08002B2CF9AE}" pid="8" name="MSIP_Label_0f488380-630a-4f55-a077-a19445e3f360_ContentBits">
    <vt:lpwstr>0</vt:lpwstr>
  </property>
  <property fmtid="{D5CDD505-2E9C-101B-9397-08002B2CF9AE}" pid="9" name="MSIP_Label_0f488380-630a-4f55-a077-a19445e3f360_Tag">
    <vt:lpwstr>10, 3, 0, 1</vt:lpwstr>
  </property>
</Properties>
</file>