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48559" w14:textId="7E0D17EE" w:rsidR="00424610" w:rsidRPr="002105A7" w:rsidRDefault="00424610" w:rsidP="00424610">
      <w:pPr>
        <w:rPr>
          <w:rFonts w:ascii="Times New Roman" w:hAnsi="Times New Roman" w:cs="Times New Roman"/>
          <w:b/>
          <w:sz w:val="20"/>
          <w:szCs w:val="20"/>
          <w:lang w:val="en-AU"/>
        </w:rPr>
      </w:pPr>
      <w:r w:rsidRPr="002105A7">
        <w:rPr>
          <w:rFonts w:ascii="Times New Roman" w:hAnsi="Times New Roman" w:cs="Times New Roman"/>
          <w:b/>
          <w:sz w:val="20"/>
          <w:szCs w:val="20"/>
          <w:lang w:val="en-AU"/>
        </w:rPr>
        <w:t>Additional file 4</w:t>
      </w:r>
    </w:p>
    <w:p w14:paraId="444C6945" w14:textId="77777777" w:rsidR="00424610" w:rsidRPr="002105A7" w:rsidRDefault="00424610" w:rsidP="00424610">
      <w:pPr>
        <w:rPr>
          <w:rFonts w:ascii="Times New Roman" w:hAnsi="Times New Roman" w:cs="Times New Roman"/>
          <w:bCs/>
          <w:i/>
          <w:iCs/>
          <w:sz w:val="20"/>
          <w:szCs w:val="20"/>
          <w:lang w:val="en-AU"/>
        </w:rPr>
      </w:pPr>
      <w:r w:rsidRPr="002105A7">
        <w:rPr>
          <w:rFonts w:ascii="Times New Roman" w:hAnsi="Times New Roman" w:cs="Times New Roman"/>
          <w:bCs/>
          <w:i/>
          <w:iCs/>
          <w:sz w:val="20"/>
          <w:szCs w:val="20"/>
          <w:lang w:val="en-AU"/>
        </w:rPr>
        <w:t>Scenario definitions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0"/>
        <w:gridCol w:w="2068"/>
        <w:gridCol w:w="3444"/>
        <w:gridCol w:w="4368"/>
        <w:gridCol w:w="2438"/>
      </w:tblGrid>
      <w:tr w:rsidR="00424610" w:rsidRPr="002105A7" w14:paraId="4D3FF445" w14:textId="77777777" w:rsidTr="00DC7A4D">
        <w:tc>
          <w:tcPr>
            <w:tcW w:w="0" w:type="auto"/>
            <w:vAlign w:val="center"/>
          </w:tcPr>
          <w:p w14:paraId="426F4FE9" w14:textId="77777777" w:rsidR="00424610" w:rsidRPr="002105A7" w:rsidRDefault="00424610" w:rsidP="00424610">
            <w:pP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Scenario</w:t>
            </w:r>
          </w:p>
        </w:tc>
        <w:tc>
          <w:tcPr>
            <w:tcW w:w="0" w:type="auto"/>
            <w:vAlign w:val="center"/>
          </w:tcPr>
          <w:p w14:paraId="4359814D" w14:textId="77777777" w:rsidR="00424610" w:rsidRPr="002105A7" w:rsidRDefault="00424610" w:rsidP="004246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Activation</w:t>
            </w:r>
          </w:p>
        </w:tc>
        <w:tc>
          <w:tcPr>
            <w:tcW w:w="0" w:type="auto"/>
            <w:vAlign w:val="center"/>
          </w:tcPr>
          <w:p w14:paraId="5BC230C7" w14:textId="77777777" w:rsidR="00424610" w:rsidRPr="002105A7" w:rsidRDefault="00424610" w:rsidP="004246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Model change</w:t>
            </w:r>
          </w:p>
        </w:tc>
        <w:tc>
          <w:tcPr>
            <w:tcW w:w="0" w:type="auto"/>
            <w:vAlign w:val="center"/>
          </w:tcPr>
          <w:p w14:paraId="43D618E9" w14:textId="77777777" w:rsidR="00424610" w:rsidRPr="002105A7" w:rsidRDefault="00424610" w:rsidP="004246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Interpretation</w:t>
            </w:r>
          </w:p>
        </w:tc>
        <w:tc>
          <w:tcPr>
            <w:tcW w:w="0" w:type="auto"/>
            <w:vAlign w:val="center"/>
          </w:tcPr>
          <w:p w14:paraId="07867B97" w14:textId="77777777" w:rsidR="00424610" w:rsidRPr="002105A7" w:rsidRDefault="00424610" w:rsidP="004246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Comparison</w:t>
            </w:r>
          </w:p>
        </w:tc>
      </w:tr>
      <w:tr w:rsidR="00424610" w:rsidRPr="002105A7" w14:paraId="0DAC4C3F" w14:textId="77777777" w:rsidTr="00DC7A4D">
        <w:tc>
          <w:tcPr>
            <w:tcW w:w="0" w:type="auto"/>
          </w:tcPr>
          <w:p w14:paraId="298ADF8C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BAU</w:t>
            </w:r>
          </w:p>
        </w:tc>
        <w:tc>
          <w:tcPr>
            <w:tcW w:w="0" w:type="auto"/>
          </w:tcPr>
          <w:p w14:paraId="4FAEC797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No prospective intervention</w:t>
            </w:r>
          </w:p>
        </w:tc>
        <w:tc>
          <w:tcPr>
            <w:tcW w:w="0" w:type="auto"/>
          </w:tcPr>
          <w:p w14:paraId="7F2BBB80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Demand-responsive recruitment remains uncapped; epidemiological mental health onset remains at calibrated baseline.</w:t>
            </w:r>
          </w:p>
        </w:tc>
        <w:tc>
          <w:tcPr>
            <w:tcW w:w="0" w:type="auto"/>
          </w:tcPr>
          <w:p w14:paraId="4BC520ED" w14:textId="77777777" w:rsidR="00424610" w:rsidRPr="002105A7" w:rsidRDefault="00424610" w:rsidP="00424610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Referent condition. Training, graduate supply, budget and local candidate-pool constraints are outside the boundary.</w:t>
            </w:r>
          </w:p>
        </w:tc>
        <w:tc>
          <w:tcPr>
            <w:tcW w:w="0" w:type="auto"/>
          </w:tcPr>
          <w:p w14:paraId="648CEEA6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Calibrated deterministic trajectory and accepted ensemble.</w:t>
            </w:r>
          </w:p>
        </w:tc>
      </w:tr>
      <w:tr w:rsidR="00424610" w:rsidRPr="002105A7" w14:paraId="336045C8" w14:textId="77777777" w:rsidTr="00DC7A4D">
        <w:tc>
          <w:tcPr>
            <w:tcW w:w="0" w:type="auto"/>
          </w:tcPr>
          <w:p w14:paraId="25F5BC9E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Recruitment ceiling</w:t>
            </w:r>
          </w:p>
        </w:tc>
        <w:tc>
          <w:tcPr>
            <w:tcW w:w="0" w:type="auto"/>
          </w:tcPr>
          <w:p w14:paraId="5F51C7EC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Enabled after January 2030</w:t>
            </w:r>
          </w:p>
        </w:tc>
        <w:tc>
          <w:tcPr>
            <w:tcW w:w="0" w:type="auto"/>
          </w:tcPr>
          <w:p w14:paraId="5F6F905C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Gross psychologist recruitment capped at 6 FTE/month when desired recruitment exceeds the cap.</w:t>
            </w:r>
          </w:p>
        </w:tc>
        <w:tc>
          <w:tcPr>
            <w:tcW w:w="0" w:type="auto"/>
          </w:tcPr>
          <w:p w14:paraId="5601FB47" w14:textId="77777777" w:rsidR="00424610" w:rsidRPr="002105A7" w:rsidRDefault="00424610" w:rsidP="00424610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Illustrative stress-test threshold, not an observed education or policy limit. The cap may be active without binding.</w:t>
            </w:r>
          </w:p>
        </w:tc>
        <w:tc>
          <w:tcPr>
            <w:tcW w:w="0" w:type="auto"/>
          </w:tcPr>
          <w:p w14:paraId="2511B52D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Same ordered accepted parameter sets; paired scenario minus BAU effects.</w:t>
            </w:r>
          </w:p>
        </w:tc>
      </w:tr>
      <w:tr w:rsidR="00424610" w:rsidRPr="002105A7" w14:paraId="08A455EF" w14:textId="77777777" w:rsidTr="00DC7A4D">
        <w:tc>
          <w:tcPr>
            <w:tcW w:w="0" w:type="auto"/>
          </w:tcPr>
          <w:p w14:paraId="0F61D99C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Compounding onset pressure</w:t>
            </w:r>
          </w:p>
        </w:tc>
        <w:tc>
          <w:tcPr>
            <w:tcW w:w="0" w:type="auto"/>
          </w:tcPr>
          <w:p w14:paraId="37E5E1E1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Activated January 2030</w:t>
            </w:r>
          </w:p>
        </w:tc>
        <w:tc>
          <w:tcPr>
            <w:tcW w:w="0" w:type="auto"/>
          </w:tcPr>
          <w:p w14:paraId="09175506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Onset multiplier compounds by 0.1% per month from January 2030.</w:t>
            </w:r>
          </w:p>
        </w:tc>
        <w:tc>
          <w:tcPr>
            <w:tcW w:w="0" w:type="auto"/>
          </w:tcPr>
          <w:p w14:paraId="5F258A50" w14:textId="77777777" w:rsidR="00424610" w:rsidRPr="002105A7" w:rsidRDefault="00424610" w:rsidP="00424610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Hypothetical, progressively increasing persistent demand stress (e.g., climate impacts). The setting has no fixed plateau or smoothing period and is not an event forecast.</w:t>
            </w:r>
          </w:p>
        </w:tc>
        <w:tc>
          <w:tcPr>
            <w:tcW w:w="0" w:type="auto"/>
          </w:tcPr>
          <w:p w14:paraId="3E3815AD" w14:textId="77777777" w:rsidR="00424610" w:rsidRPr="002105A7" w:rsidRDefault="00424610" w:rsidP="0042461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Same ordered accepted parameter sets; paired scenario minus BAU effects.</w:t>
            </w:r>
          </w:p>
        </w:tc>
      </w:tr>
      <w:tr w:rsidR="00424610" w:rsidRPr="002105A7" w14:paraId="445A43E7" w14:textId="77777777" w:rsidTr="00DC7A4D">
        <w:tc>
          <w:tcPr>
            <w:tcW w:w="0" w:type="auto"/>
          </w:tcPr>
          <w:p w14:paraId="23815B43" w14:textId="77777777" w:rsidR="00424610" w:rsidRPr="002105A7" w:rsidRDefault="00424610" w:rsidP="00424610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Combined</w:t>
            </w:r>
          </w:p>
        </w:tc>
        <w:tc>
          <w:tcPr>
            <w:tcW w:w="0" w:type="auto"/>
          </w:tcPr>
          <w:p w14:paraId="3496DDFA" w14:textId="77777777" w:rsidR="00424610" w:rsidRPr="002105A7" w:rsidRDefault="00424610" w:rsidP="00424610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Both settings activated at model month 204 (January 2030)</w:t>
            </w:r>
          </w:p>
        </w:tc>
        <w:tc>
          <w:tcPr>
            <w:tcW w:w="0" w:type="auto"/>
          </w:tcPr>
          <w:p w14:paraId="1ACE81FC" w14:textId="77777777" w:rsidR="00424610" w:rsidRPr="002105A7" w:rsidRDefault="00424610" w:rsidP="00424610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Gross psychologist recruitment capped, while the onset multiplier follows the same monthly compounding trajectory</w:t>
            </w:r>
          </w:p>
        </w:tc>
        <w:tc>
          <w:tcPr>
            <w:tcW w:w="0" w:type="auto"/>
          </w:tcPr>
          <w:p w14:paraId="7F5D62EE" w14:textId="77777777" w:rsidR="00424610" w:rsidRPr="002105A7" w:rsidRDefault="00424610" w:rsidP="00424610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Stress test of progressively rising mental ill-health pressure under constrained workforce expansion. The joint effect is not assumed to equal the sum of the isolated effects.</w:t>
            </w:r>
          </w:p>
        </w:tc>
        <w:tc>
          <w:tcPr>
            <w:tcW w:w="0" w:type="auto"/>
          </w:tcPr>
          <w:p w14:paraId="3CA9421E" w14:textId="77777777" w:rsidR="00424610" w:rsidRPr="002105A7" w:rsidRDefault="00424610" w:rsidP="00424610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2105A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Same ordered accepted parameter sets; paired scenario minus BAU effects.</w:t>
            </w:r>
          </w:p>
        </w:tc>
      </w:tr>
    </w:tbl>
    <w:p w14:paraId="55EBC7F0" w14:textId="77777777" w:rsidR="00424610" w:rsidRPr="002105A7" w:rsidRDefault="00424610" w:rsidP="00424610">
      <w:pPr>
        <w:rPr>
          <w:rFonts w:ascii="Times New Roman" w:hAnsi="Times New Roman" w:cs="Times New Roman"/>
          <w:sz w:val="20"/>
          <w:szCs w:val="20"/>
          <w:lang w:val="en-AU"/>
        </w:rPr>
      </w:pPr>
      <w:r w:rsidRPr="00616346">
        <w:rPr>
          <w:rFonts w:ascii="Times New Roman" w:hAnsi="Times New Roman" w:cs="Times New Roman"/>
          <w:bCs/>
          <w:i/>
          <w:iCs/>
          <w:sz w:val="20"/>
          <w:szCs w:val="20"/>
          <w:lang w:val="en-AU"/>
        </w:rPr>
        <w:t>Note.</w:t>
      </w:r>
      <w:r w:rsidRPr="002105A7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BAU, business as usual; FTE, full-time equivalent. In the compounding onset-pressure and combined scenarios, model month 204 is January 2030. The onset multiplier is 1.000 in January 2030 and subsequently increases by 0.1% once per monthly interval. It is therefore 1.001 in February 2030, 1.0618 in January 2035 and 1.2711 in January 2050. In the recruitment-ceiling and combined scenarios, gross recruitment is capped at 6 FTE/month whenever desired recruitment exceeds the cap. These are illustrative stress-test settings rather than forecasts of a particular education, funding or labour-market limit, pandemic, climate exposure or disaster. The cited evidence supports the plausibility of persistent mental health pressure but does not calibrate the 0.1% monthly rate.</w:t>
      </w:r>
    </w:p>
    <w:p w14:paraId="516225EB" w14:textId="77777777" w:rsidR="00424610" w:rsidRPr="002105A7" w:rsidRDefault="00424610" w:rsidP="00424610">
      <w:pPr>
        <w:rPr>
          <w:rFonts w:ascii="Times New Roman" w:hAnsi="Times New Roman" w:cs="Times New Roman"/>
          <w:sz w:val="20"/>
          <w:szCs w:val="20"/>
          <w:lang w:val="en-AU"/>
        </w:rPr>
      </w:pPr>
    </w:p>
    <w:p w14:paraId="2DA423BC" w14:textId="77777777" w:rsidR="008959E8" w:rsidRPr="002105A7" w:rsidRDefault="008959E8" w:rsidP="00424610">
      <w:pPr>
        <w:rPr>
          <w:rFonts w:ascii="Times New Roman" w:hAnsi="Times New Roman" w:cs="Times New Roman"/>
          <w:sz w:val="20"/>
          <w:szCs w:val="20"/>
        </w:rPr>
      </w:pPr>
    </w:p>
    <w:sectPr w:rsidR="008959E8" w:rsidRPr="002105A7" w:rsidSect="0042461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10"/>
    <w:rsid w:val="002105A7"/>
    <w:rsid w:val="00424610"/>
    <w:rsid w:val="00616346"/>
    <w:rsid w:val="007712EB"/>
    <w:rsid w:val="008959E8"/>
    <w:rsid w:val="008B08EB"/>
    <w:rsid w:val="009B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DF1A4"/>
  <w15:chartTrackingRefBased/>
  <w15:docId w15:val="{56B5A76D-0806-4AC5-8B2E-B56A4AEA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610"/>
    <w:pPr>
      <w:spacing w:after="200" w:line="276" w:lineRule="auto"/>
    </w:pPr>
    <w:rPr>
      <w:rFonts w:ascii="Aptos" w:eastAsiaTheme="minorEastAsia" w:hAnsi="Aptos"/>
      <w:kern w:val="0"/>
      <w:sz w:val="1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46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6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6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6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6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61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61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61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61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6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6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4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6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4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61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4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61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46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6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6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24610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1984</Characters>
  <Application>Microsoft Office Word</Application>
  <DocSecurity>0</DocSecurity>
  <Lines>16</Lines>
  <Paragraphs>4</Paragraphs>
  <ScaleCrop>false</ScaleCrop>
  <Company>The University of Queensland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Hulme</dc:creator>
  <cp:keywords/>
  <dc:description/>
  <cp:lastModifiedBy>Adam Hulme</cp:lastModifiedBy>
  <cp:revision>3</cp:revision>
  <dcterms:created xsi:type="dcterms:W3CDTF">2026-10-16T06:59:00Z</dcterms:created>
  <dcterms:modified xsi:type="dcterms:W3CDTF">2026-10-16T07:09:00Z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2026-10-16T07:02:40Z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dcefdc98-2058-4a4a-a4e7-b08da9fe0206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</Properties>
</file>