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17A08" w14:textId="77777777" w:rsidR="00583917" w:rsidRPr="00C21986" w:rsidRDefault="00583917" w:rsidP="00C21986">
      <w:pPr>
        <w:rPr>
          <w:rFonts w:ascii="Times New Roman" w:hAnsi="Times New Roman" w:cs="Times New Roman"/>
          <w:b/>
          <w:sz w:val="20"/>
          <w:szCs w:val="20"/>
          <w:lang w:val="en-AU"/>
        </w:rPr>
      </w:pPr>
      <w:r w:rsidRPr="00C21986">
        <w:rPr>
          <w:rFonts w:ascii="Times New Roman" w:hAnsi="Times New Roman" w:cs="Times New Roman"/>
          <w:b/>
          <w:sz w:val="20"/>
          <w:szCs w:val="20"/>
          <w:lang w:val="en-AU"/>
        </w:rPr>
        <w:t>Additional file 1</w:t>
      </w:r>
    </w:p>
    <w:p w14:paraId="67832B31" w14:textId="003809BD" w:rsidR="00583917" w:rsidRPr="00C21986" w:rsidRDefault="00A74983" w:rsidP="00C21986">
      <w:pPr>
        <w:rPr>
          <w:rFonts w:ascii="Times New Roman" w:hAnsi="Times New Roman" w:cs="Times New Roman"/>
          <w:bCs/>
          <w:i/>
          <w:iCs/>
          <w:sz w:val="20"/>
          <w:szCs w:val="20"/>
          <w:lang w:val="en-AU"/>
        </w:rPr>
      </w:pPr>
      <w:r w:rsidRPr="00C21986">
        <w:rPr>
          <w:rFonts w:ascii="Times New Roman" w:hAnsi="Times New Roman" w:cs="Times New Roman"/>
          <w:bCs/>
          <w:i/>
          <w:iCs/>
          <w:sz w:val="20"/>
          <w:szCs w:val="20"/>
          <w:lang w:val="en-AU"/>
        </w:rPr>
        <w:t>K</w:t>
      </w:r>
      <w:r w:rsidR="00583917" w:rsidRPr="00C21986">
        <w:rPr>
          <w:rFonts w:ascii="Times New Roman" w:hAnsi="Times New Roman" w:cs="Times New Roman"/>
          <w:bCs/>
          <w:i/>
          <w:iCs/>
          <w:sz w:val="20"/>
          <w:szCs w:val="20"/>
          <w:lang w:val="en-AU"/>
        </w:rPr>
        <w:t>ey model equations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65"/>
        <w:gridCol w:w="1912"/>
        <w:gridCol w:w="3945"/>
        <w:gridCol w:w="7236"/>
      </w:tblGrid>
      <w:tr w:rsidR="00583917" w:rsidRPr="00C21986" w14:paraId="7D8D2032" w14:textId="77777777" w:rsidTr="004C0BA6">
        <w:tc>
          <w:tcPr>
            <w:tcW w:w="310" w:type="pct"/>
            <w:vAlign w:val="center"/>
          </w:tcPr>
          <w:p w14:paraId="2E1CF009" w14:textId="77777777" w:rsidR="00583917" w:rsidRPr="00C21986" w:rsidRDefault="00583917" w:rsidP="00C21986">
            <w:pPr>
              <w:rPr>
                <w:rFonts w:ascii="Times New Roman" w:hAnsi="Times New Roman" w:cs="Times New Roman"/>
                <w:b/>
                <w:sz w:val="20"/>
                <w:szCs w:val="20"/>
                <w:lang w:val="en-AU"/>
              </w:rPr>
            </w:pPr>
            <w:r w:rsidRPr="00C21986">
              <w:rPr>
                <w:rFonts w:ascii="Times New Roman" w:hAnsi="Times New Roman" w:cs="Times New Roman"/>
                <w:b/>
                <w:sz w:val="20"/>
                <w:szCs w:val="20"/>
                <w:lang w:val="en-AU"/>
              </w:rPr>
              <w:t>Eq ref</w:t>
            </w:r>
          </w:p>
        </w:tc>
        <w:tc>
          <w:tcPr>
            <w:tcW w:w="685" w:type="pct"/>
          </w:tcPr>
          <w:p w14:paraId="27315F10" w14:textId="77777777" w:rsidR="00583917" w:rsidRPr="00C21986" w:rsidRDefault="00583917" w:rsidP="00C21986">
            <w:pPr>
              <w:jc w:val="center"/>
              <w:rPr>
                <w:rFonts w:ascii="Times New Roman" w:hAnsi="Times New Roman" w:cs="Times New Roman"/>
                <w:sz w:val="20"/>
                <w:szCs w:val="20"/>
                <w:lang w:val="en-AU"/>
              </w:rPr>
            </w:pPr>
            <w:r w:rsidRPr="00C21986">
              <w:rPr>
                <w:rFonts w:ascii="Times New Roman" w:hAnsi="Times New Roman" w:cs="Times New Roman"/>
                <w:b/>
                <w:sz w:val="20"/>
                <w:szCs w:val="20"/>
                <w:lang w:val="en-AU"/>
              </w:rPr>
              <w:t>Element</w:t>
            </w:r>
          </w:p>
        </w:tc>
        <w:tc>
          <w:tcPr>
            <w:tcW w:w="1413" w:type="pct"/>
          </w:tcPr>
          <w:p w14:paraId="2C18C1D4" w14:textId="77777777" w:rsidR="00583917" w:rsidRPr="00C21986" w:rsidRDefault="00583917" w:rsidP="00C21986">
            <w:pPr>
              <w:jc w:val="center"/>
              <w:rPr>
                <w:rFonts w:ascii="Times New Roman" w:hAnsi="Times New Roman" w:cs="Times New Roman"/>
                <w:sz w:val="20"/>
                <w:szCs w:val="20"/>
                <w:lang w:val="en-AU"/>
              </w:rPr>
            </w:pPr>
            <w:r w:rsidRPr="00C21986">
              <w:rPr>
                <w:rFonts w:ascii="Times New Roman" w:hAnsi="Times New Roman" w:cs="Times New Roman"/>
                <w:b/>
                <w:sz w:val="20"/>
                <w:szCs w:val="20"/>
                <w:lang w:val="en-AU"/>
              </w:rPr>
              <w:t>Equation</w:t>
            </w:r>
          </w:p>
        </w:tc>
        <w:tc>
          <w:tcPr>
            <w:tcW w:w="2592" w:type="pct"/>
          </w:tcPr>
          <w:p w14:paraId="4CD0B3C3" w14:textId="77777777" w:rsidR="00583917" w:rsidRPr="00C21986" w:rsidRDefault="00583917" w:rsidP="00C21986">
            <w:pPr>
              <w:jc w:val="center"/>
              <w:rPr>
                <w:rFonts w:ascii="Times New Roman" w:hAnsi="Times New Roman" w:cs="Times New Roman"/>
                <w:sz w:val="20"/>
                <w:szCs w:val="20"/>
                <w:lang w:val="en-AU"/>
              </w:rPr>
            </w:pPr>
            <w:r w:rsidRPr="00C21986">
              <w:rPr>
                <w:rFonts w:ascii="Times New Roman" w:hAnsi="Times New Roman" w:cs="Times New Roman"/>
                <w:b/>
                <w:sz w:val="20"/>
                <w:szCs w:val="20"/>
                <w:lang w:val="en-AU"/>
              </w:rPr>
              <w:t>Condensed model role / interpretation</w:t>
            </w:r>
          </w:p>
        </w:tc>
      </w:tr>
      <w:tr w:rsidR="00583917" w:rsidRPr="00C21986" w14:paraId="7829903A" w14:textId="77777777" w:rsidTr="004C0BA6">
        <w:tc>
          <w:tcPr>
            <w:tcW w:w="310" w:type="pct"/>
          </w:tcPr>
          <w:p w14:paraId="2A190EA2"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w:t>
            </w:r>
          </w:p>
        </w:tc>
        <w:tc>
          <w:tcPr>
            <w:tcW w:w="685" w:type="pct"/>
          </w:tcPr>
          <w:p w14:paraId="1E53290E"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People-equivalent treatment capacity</w:t>
            </w:r>
          </w:p>
        </w:tc>
        <w:tc>
          <w:tcPr>
            <w:tcW w:w="1413" w:type="pct"/>
            <w:vAlign w:val="center"/>
          </w:tcPr>
          <w:p w14:paraId="775ACD82" w14:textId="77777777" w:rsidR="00583917" w:rsidRPr="00C21986" w:rsidRDefault="00A87832" w:rsidP="00C21986">
            <w:pPr>
              <w:jc w:val="center"/>
              <w:rPr>
                <w:rFonts w:ascii="Times New Roman" w:hAnsi="Times New Roman" w:cs="Times New Roman"/>
                <w:sz w:val="20"/>
                <w:szCs w:val="20"/>
                <w:lang w:val="en-AU"/>
              </w:rPr>
            </w:pPr>
            <m:oMathPara>
              <m:oMathParaPr>
                <m:jc m:val="center"/>
              </m:oMathParaPr>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C</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f>
                  <m:fPr>
                    <m:ctrlPr>
                      <w:rPr>
                        <w:rFonts w:ascii="Cambria Math" w:hAnsi="Cambria Math" w:cs="Times New Roman"/>
                        <w:i/>
                        <w:sz w:val="20"/>
                        <w:szCs w:val="20"/>
                        <w:lang w:val="en-AU"/>
                      </w:rPr>
                    </m:ctrlPr>
                  </m:fPr>
                  <m:num>
                    <m:r>
                      <w:rPr>
                        <w:rFonts w:ascii="Cambria Math" w:hAnsi="Cambria Math" w:cs="Times New Roman"/>
                        <w:sz w:val="20"/>
                        <w:szCs w:val="20"/>
                        <w:lang w:val="en-AU"/>
                      </w:rPr>
                      <m:t>W</m:t>
                    </m:r>
                    <m:r>
                      <w:rPr>
                        <w:rFonts w:ascii="Cambria Math" w:hAnsi="Cambria Math" w:cs="Times New Roman"/>
                        <w:sz w:val="20"/>
                        <w:szCs w:val="20"/>
                        <w:lang w:val="en-AU"/>
                      </w:rPr>
                      <m:t>.</m:t>
                    </m:r>
                    <m:r>
                      <w:rPr>
                        <w:rFonts w:ascii="Cambria Math" w:hAnsi="Cambria Math" w:cs="Times New Roman"/>
                        <w:sz w:val="20"/>
                        <w:szCs w:val="20"/>
                        <w:lang w:val="en-AU"/>
                      </w:rPr>
                      <m:t>s</m:t>
                    </m:r>
                    <m:r>
                      <w:rPr>
                        <w:rFonts w:ascii="Cambria Math" w:hAnsi="Cambria Math" w:cs="Times New Roman"/>
                        <w:sz w:val="20"/>
                        <w:szCs w:val="20"/>
                        <w:lang w:val="en-AU"/>
                      </w:rPr>
                      <m:t>.</m:t>
                    </m:r>
                    <m:r>
                      <w:rPr>
                        <w:rFonts w:ascii="Cambria Math" w:hAnsi="Cambria Math" w:cs="Times New Roman"/>
                        <w:sz w:val="20"/>
                        <w:szCs w:val="20"/>
                        <w:lang w:val="en-AU"/>
                      </w:rPr>
                      <m:t>u</m:t>
                    </m:r>
                  </m:num>
                  <m:den>
                    <m:r>
                      <w:rPr>
                        <w:rFonts w:ascii="Cambria Math" w:hAnsi="Cambria Math" w:cs="Times New Roman"/>
                        <w:sz w:val="20"/>
                        <w:szCs w:val="20"/>
                        <w:lang w:val="en-AU"/>
                      </w:rPr>
                      <m:t>p</m:t>
                    </m:r>
                  </m:den>
                </m:f>
              </m:oMath>
            </m:oMathPara>
          </w:p>
        </w:tc>
        <w:tc>
          <w:tcPr>
            <w:tcW w:w="2592" w:type="pct"/>
          </w:tcPr>
          <w:p w14:paraId="718AE2BE"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Converts available psychology FTE into the number of patients who can be supported at baseline treatment intensity. This links workforce supply expressed in services with treatment capacity expressed in people.</w:t>
            </w:r>
          </w:p>
        </w:tc>
      </w:tr>
      <w:tr w:rsidR="00583917" w:rsidRPr="00C21986" w14:paraId="179CF6E8" w14:textId="77777777" w:rsidTr="004C0BA6">
        <w:tc>
          <w:tcPr>
            <w:tcW w:w="310" w:type="pct"/>
          </w:tcPr>
          <w:p w14:paraId="6D8EEEFD"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2</w:t>
            </w:r>
          </w:p>
        </w:tc>
        <w:tc>
          <w:tcPr>
            <w:tcW w:w="685" w:type="pct"/>
          </w:tcPr>
          <w:p w14:paraId="1F734BBC"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Workforce required to meet treatment demand</w:t>
            </w:r>
          </w:p>
        </w:tc>
        <w:tc>
          <w:tcPr>
            <w:tcW w:w="1413" w:type="pct"/>
            <w:vAlign w:val="center"/>
          </w:tcPr>
          <w:p w14:paraId="252D2D76"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req</m:t>
                    </m:r>
                  </m:sub>
                </m:sSub>
                <m:r>
                  <w:rPr>
                    <w:rFonts w:ascii="Cambria Math" w:hAnsi="Cambria Math" w:cs="Times New Roman"/>
                    <w:sz w:val="20"/>
                    <w:szCs w:val="20"/>
                    <w:lang w:val="en-AU"/>
                  </w:rPr>
                  <m:t xml:space="preserve">= </m:t>
                </m:r>
                <m:f>
                  <m:fPr>
                    <m:ctrlPr>
                      <w:rPr>
                        <w:rFonts w:ascii="Cambria Math" w:hAnsi="Cambria Math" w:cs="Times New Roman"/>
                        <w:i/>
                        <w:sz w:val="20"/>
                        <w:szCs w:val="20"/>
                        <w:lang w:val="en-AU"/>
                      </w:rPr>
                    </m:ctrlPr>
                  </m:fPr>
                  <m:num>
                    <m:d>
                      <m:dPr>
                        <m:ctrlPr>
                          <w:rPr>
                            <w:rFonts w:ascii="Cambria Math" w:hAnsi="Cambria Math" w:cs="Times New Roman"/>
                            <w:i/>
                            <w:sz w:val="20"/>
                            <w:szCs w:val="20"/>
                            <w:lang w:val="en-AU"/>
                          </w:rPr>
                        </m:ctrlPr>
                      </m:dPr>
                      <m:e>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AW</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IT</m:t>
                            </m:r>
                          </m:sub>
                        </m:sSub>
                      </m:e>
                    </m:d>
                    <m:r>
                      <w:rPr>
                        <w:rFonts w:ascii="Cambria Math" w:hAnsi="Cambria Math" w:cs="Times New Roman"/>
                        <w:sz w:val="20"/>
                        <w:szCs w:val="20"/>
                        <w:lang w:val="en-AU"/>
                      </w:rPr>
                      <m:t>.</m:t>
                    </m:r>
                    <m:r>
                      <w:rPr>
                        <w:rFonts w:ascii="Cambria Math" w:hAnsi="Cambria Math" w:cs="Times New Roman"/>
                        <w:sz w:val="20"/>
                        <w:szCs w:val="20"/>
                        <w:lang w:val="en-AU"/>
                      </w:rPr>
                      <m:t>p</m:t>
                    </m:r>
                  </m:num>
                  <m:den>
                    <m:r>
                      <w:rPr>
                        <w:rFonts w:ascii="Cambria Math" w:hAnsi="Cambria Math" w:cs="Times New Roman"/>
                        <w:sz w:val="20"/>
                        <w:szCs w:val="20"/>
                        <w:lang w:val="en-AU"/>
                      </w:rPr>
                      <m:t>s</m:t>
                    </m:r>
                    <m:r>
                      <w:rPr>
                        <w:rFonts w:ascii="Cambria Math" w:hAnsi="Cambria Math" w:cs="Times New Roman"/>
                        <w:sz w:val="20"/>
                        <w:szCs w:val="20"/>
                        <w:lang w:val="en-AU"/>
                      </w:rPr>
                      <m:t>.</m:t>
                    </m:r>
                    <m:r>
                      <w:rPr>
                        <w:rFonts w:ascii="Cambria Math" w:hAnsi="Cambria Math" w:cs="Times New Roman"/>
                        <w:sz w:val="20"/>
                        <w:szCs w:val="20"/>
                        <w:lang w:val="en-AU"/>
                      </w:rPr>
                      <m:t>u</m:t>
                    </m:r>
                  </m:den>
                </m:f>
              </m:oMath>
            </m:oMathPara>
          </w:p>
        </w:tc>
        <w:tc>
          <w:tcPr>
            <w:tcW w:w="2592" w:type="pct"/>
          </w:tcPr>
          <w:p w14:paraId="5135CA41"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Estimates the psychology FTE needed to meet total treatment demand. Patients in treatment occupy existing capacity, while patients awaiting treatment represent queued unmet demand requiring additional capacity.</w:t>
            </w:r>
          </w:p>
        </w:tc>
      </w:tr>
      <w:tr w:rsidR="00583917" w:rsidRPr="00C21986" w14:paraId="5269A7F8" w14:textId="77777777" w:rsidTr="004C0BA6">
        <w:tc>
          <w:tcPr>
            <w:tcW w:w="310" w:type="pct"/>
          </w:tcPr>
          <w:p w14:paraId="7BB8ED35"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3</w:t>
            </w:r>
          </w:p>
        </w:tc>
        <w:tc>
          <w:tcPr>
            <w:tcW w:w="685" w:type="pct"/>
          </w:tcPr>
          <w:p w14:paraId="0070FCAC"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Adjusted service-derived capacity</w:t>
            </w:r>
          </w:p>
        </w:tc>
        <w:tc>
          <w:tcPr>
            <w:tcW w:w="1413" w:type="pct"/>
            <w:vAlign w:val="center"/>
          </w:tcPr>
          <w:p w14:paraId="099A140D"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C</m:t>
                    </m:r>
                  </m:e>
                  <m:sub>
                    <m:r>
                      <w:rPr>
                        <w:rFonts w:ascii="Cambria Math" w:hAnsi="Cambria Math" w:cs="Times New Roman"/>
                        <w:sz w:val="20"/>
                        <w:szCs w:val="20"/>
                        <w:lang w:val="en-AU"/>
                      </w:rPr>
                      <m:t>adj</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C</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m</m:t>
                    </m:r>
                  </m:e>
                  <m:sub>
                    <m:r>
                      <w:rPr>
                        <w:rFonts w:ascii="Cambria Math" w:hAnsi="Cambria Math" w:cs="Times New Roman"/>
                        <w:sz w:val="20"/>
                        <w:szCs w:val="20"/>
                        <w:lang w:val="en-AU"/>
                      </w:rPr>
                      <m:t>PRWT</m:t>
                    </m:r>
                  </m:sub>
                </m:sSub>
              </m:oMath>
            </m:oMathPara>
          </w:p>
        </w:tc>
        <w:tc>
          <w:tcPr>
            <w:tcW w:w="2592" w:type="pct"/>
          </w:tcPr>
          <w:p w14:paraId="76FFE7B9"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Represents the behavioural productivity response to perceived wait pressure. Capacity can fall below baseline when pressure is low or temporarily rise above baseline when backlog pressure leads to workforce over-stretch.</w:t>
            </w:r>
          </w:p>
        </w:tc>
      </w:tr>
      <w:tr w:rsidR="00583917" w:rsidRPr="00C21986" w14:paraId="1F2EF379" w14:textId="77777777" w:rsidTr="004C0BA6">
        <w:tc>
          <w:tcPr>
            <w:tcW w:w="310" w:type="pct"/>
          </w:tcPr>
          <w:p w14:paraId="3A5DABC9"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4</w:t>
            </w:r>
          </w:p>
        </w:tc>
        <w:tc>
          <w:tcPr>
            <w:tcW w:w="685" w:type="pct"/>
          </w:tcPr>
          <w:p w14:paraId="36941DEE"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Treatment admissions</w:t>
            </w:r>
          </w:p>
        </w:tc>
        <w:tc>
          <w:tcPr>
            <w:tcW w:w="1413" w:type="pct"/>
            <w:vAlign w:val="center"/>
          </w:tcPr>
          <w:p w14:paraId="6B4CFA1E" w14:textId="77777777" w:rsidR="00583917" w:rsidRPr="00C21986" w:rsidRDefault="00583917" w:rsidP="00C21986">
            <w:pPr>
              <w:jc w:val="center"/>
              <w:rPr>
                <w:rFonts w:ascii="Times New Roman" w:hAnsi="Times New Roman" w:cs="Times New Roman"/>
                <w:sz w:val="20"/>
                <w:szCs w:val="20"/>
                <w:lang w:val="en-AU"/>
              </w:rPr>
            </w:pPr>
            <m:oMathPara>
              <m:oMath>
                <m:r>
                  <w:rPr>
                    <w:rFonts w:ascii="Cambria Math" w:hAnsi="Cambria Math" w:cs="Times New Roman"/>
                    <w:sz w:val="20"/>
                    <w:szCs w:val="20"/>
                    <w:lang w:val="en-AU"/>
                  </w:rPr>
                  <m:t>A=</m:t>
                </m:r>
                <m:f>
                  <m:fPr>
                    <m:ctrlPr>
                      <w:rPr>
                        <w:rFonts w:ascii="Cambria Math" w:hAnsi="Cambria Math" w:cs="Times New Roman"/>
                        <w:i/>
                        <w:sz w:val="20"/>
                        <w:szCs w:val="20"/>
                        <w:lang w:val="en-AU"/>
                      </w:rPr>
                    </m:ctrlPr>
                  </m:fPr>
                  <m:num>
                    <m:func>
                      <m:funcPr>
                        <m:ctrlPr>
                          <w:rPr>
                            <w:rFonts w:ascii="Cambria Math" w:hAnsi="Cambria Math" w:cs="Times New Roman"/>
                            <w:sz w:val="20"/>
                            <w:szCs w:val="20"/>
                            <w:lang w:val="en-AU"/>
                          </w:rPr>
                        </m:ctrlPr>
                      </m:funcPr>
                      <m:fName>
                        <m:r>
                          <m:rPr>
                            <m:sty m:val="p"/>
                          </m:rPr>
                          <w:rPr>
                            <w:rFonts w:ascii="Cambria Math" w:hAnsi="Cambria Math" w:cs="Times New Roman"/>
                            <w:sz w:val="20"/>
                            <w:szCs w:val="20"/>
                            <w:lang w:val="en-AU"/>
                          </w:rPr>
                          <m:t>min</m:t>
                        </m:r>
                        <m:ctrlPr>
                          <w:rPr>
                            <w:rFonts w:ascii="Cambria Math" w:hAnsi="Cambria Math" w:cs="Times New Roman"/>
                            <w:i/>
                            <w:sz w:val="20"/>
                            <w:szCs w:val="20"/>
                            <w:lang w:val="en-AU"/>
                          </w:rPr>
                        </m:ctrlPr>
                      </m:fName>
                      <m:e>
                        <m:d>
                          <m:dPr>
                            <m:ctrlPr>
                              <w:rPr>
                                <w:rFonts w:ascii="Cambria Math" w:hAnsi="Cambria Math" w:cs="Times New Roman"/>
                                <w:i/>
                                <w:sz w:val="20"/>
                                <w:szCs w:val="20"/>
                                <w:lang w:val="en-AU"/>
                              </w:rPr>
                            </m:ctrlPr>
                          </m:dPr>
                          <m:e>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AW</m:t>
                                </m:r>
                              </m:sub>
                            </m:sSub>
                            <m:r>
                              <w:rPr>
                                <w:rFonts w:ascii="Cambria Math" w:hAnsi="Cambria Math" w:cs="Times New Roman"/>
                                <w:sz w:val="20"/>
                                <w:szCs w:val="20"/>
                                <w:lang w:val="en-AU"/>
                              </w:rPr>
                              <m:t xml:space="preserve">, </m:t>
                            </m:r>
                            <m:func>
                              <m:funcPr>
                                <m:ctrlPr>
                                  <w:rPr>
                                    <w:rFonts w:ascii="Cambria Math" w:hAnsi="Cambria Math" w:cs="Times New Roman"/>
                                    <w:sz w:val="20"/>
                                    <w:szCs w:val="20"/>
                                    <w:lang w:val="en-AU"/>
                                  </w:rPr>
                                </m:ctrlPr>
                              </m:funcPr>
                              <m:fName>
                                <m:r>
                                  <m:rPr>
                                    <m:sty m:val="p"/>
                                  </m:rPr>
                                  <w:rPr>
                                    <w:rFonts w:ascii="Cambria Math" w:hAnsi="Cambria Math" w:cs="Times New Roman"/>
                                    <w:sz w:val="20"/>
                                    <w:szCs w:val="20"/>
                                    <w:lang w:val="en-AU"/>
                                  </w:rPr>
                                  <m:t>max</m:t>
                                </m:r>
                                <m:ctrlPr>
                                  <w:rPr>
                                    <w:rFonts w:ascii="Cambria Math" w:hAnsi="Cambria Math" w:cs="Times New Roman"/>
                                    <w:i/>
                                    <w:sz w:val="20"/>
                                    <w:szCs w:val="20"/>
                                    <w:lang w:val="en-AU"/>
                                  </w:rPr>
                                </m:ctrlPr>
                              </m:fName>
                              <m:e>
                                <m:d>
                                  <m:dPr>
                                    <m:ctrlPr>
                                      <w:rPr>
                                        <w:rFonts w:ascii="Cambria Math" w:hAnsi="Cambria Math" w:cs="Times New Roman"/>
                                        <w:i/>
                                        <w:sz w:val="20"/>
                                        <w:szCs w:val="20"/>
                                        <w:lang w:val="en-AU"/>
                                      </w:rPr>
                                    </m:ctrlPr>
                                  </m:dPr>
                                  <m:e>
                                    <m:r>
                                      <w:rPr>
                                        <w:rFonts w:ascii="Cambria Math" w:hAnsi="Cambria Math" w:cs="Times New Roman"/>
                                        <w:sz w:val="20"/>
                                        <w:szCs w:val="20"/>
                                        <w:lang w:val="en-AU"/>
                                      </w:rPr>
                                      <m:t xml:space="preserve">0,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C</m:t>
                                        </m:r>
                                      </m:e>
                                      <m:sub>
                                        <m:r>
                                          <w:rPr>
                                            <w:rFonts w:ascii="Cambria Math" w:hAnsi="Cambria Math" w:cs="Times New Roman"/>
                                            <w:sz w:val="20"/>
                                            <w:szCs w:val="20"/>
                                            <w:lang w:val="en-AU"/>
                                          </w:rPr>
                                          <m:t>adj</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IT</m:t>
                                        </m:r>
                                      </m:sub>
                                    </m:sSub>
                                  </m:e>
                                </m:d>
                              </m:e>
                            </m:func>
                          </m:e>
                        </m:d>
                      </m:e>
                    </m:func>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τ</m:t>
                        </m:r>
                      </m:e>
                      <m:sub>
                        <m:r>
                          <w:rPr>
                            <w:rFonts w:ascii="Cambria Math" w:hAnsi="Cambria Math" w:cs="Times New Roman"/>
                            <w:sz w:val="20"/>
                            <w:szCs w:val="20"/>
                            <w:lang w:val="en-AU"/>
                          </w:rPr>
                          <m:t>fill</m:t>
                        </m:r>
                      </m:sub>
                    </m:sSub>
                  </m:den>
                </m:f>
              </m:oMath>
            </m:oMathPara>
          </w:p>
        </w:tc>
        <w:tc>
          <w:tcPr>
            <w:tcW w:w="2592" w:type="pct"/>
          </w:tcPr>
          <w:p w14:paraId="032435C2"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Constrains new treatment entry by the smaller of patients awaiting treatment and remaining treatment vacancies after the current in-treatment caseload has been accounted for. Existing treatment occupancy is therefore prioritised before new admissions.</w:t>
            </w:r>
          </w:p>
        </w:tc>
      </w:tr>
      <w:tr w:rsidR="00583917" w:rsidRPr="00C21986" w14:paraId="5F83AF57" w14:textId="77777777" w:rsidTr="004C0BA6">
        <w:tc>
          <w:tcPr>
            <w:tcW w:w="310" w:type="pct"/>
          </w:tcPr>
          <w:p w14:paraId="673F31F0"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5</w:t>
            </w:r>
          </w:p>
        </w:tc>
        <w:tc>
          <w:tcPr>
            <w:tcW w:w="685" w:type="pct"/>
          </w:tcPr>
          <w:p w14:paraId="7E6BB1E1"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Workforce turnover</w:t>
            </w:r>
          </w:p>
        </w:tc>
        <w:tc>
          <w:tcPr>
            <w:tcW w:w="1413" w:type="pct"/>
            <w:vAlign w:val="center"/>
          </w:tcPr>
          <w:p w14:paraId="049401F3" w14:textId="77777777" w:rsidR="00583917" w:rsidRPr="00C21986" w:rsidRDefault="00583917" w:rsidP="00C21986">
            <w:pPr>
              <w:jc w:val="center"/>
              <w:rPr>
                <w:rFonts w:ascii="Times New Roman" w:hAnsi="Times New Roman" w:cs="Times New Roman"/>
                <w:sz w:val="20"/>
                <w:szCs w:val="20"/>
                <w:lang w:val="en-AU"/>
              </w:rPr>
            </w:pPr>
            <m:oMathPara>
              <m:oMath>
                <m:r>
                  <w:rPr>
                    <w:rFonts w:ascii="Cambria Math" w:hAnsi="Cambria Math" w:cs="Times New Roman"/>
                    <w:sz w:val="20"/>
                    <w:szCs w:val="20"/>
                    <w:lang w:val="en-AU"/>
                  </w:rPr>
                  <m:t xml:space="preserve">T= </m:t>
                </m:r>
                <m:f>
                  <m:fPr>
                    <m:ctrlPr>
                      <w:rPr>
                        <w:rFonts w:ascii="Cambria Math" w:hAnsi="Cambria Math" w:cs="Times New Roman"/>
                        <w:i/>
                        <w:sz w:val="20"/>
                        <w:szCs w:val="20"/>
                        <w:lang w:val="en-AU"/>
                      </w:rPr>
                    </m:ctrlPr>
                  </m:fPr>
                  <m:num>
                    <m:r>
                      <w:rPr>
                        <w:rFonts w:ascii="Cambria Math" w:hAnsi="Cambria Math" w:cs="Times New Roman"/>
                        <w:sz w:val="20"/>
                        <w:szCs w:val="20"/>
                        <w:lang w:val="en-AU"/>
                      </w:rPr>
                      <m:t>W</m:t>
                    </m:r>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ATIP</m:t>
                        </m:r>
                      </m:e>
                      <m:sub>
                        <m:r>
                          <w:rPr>
                            <w:rFonts w:ascii="Cambria Math" w:hAnsi="Cambria Math" w:cs="Times New Roman"/>
                            <w:sz w:val="20"/>
                            <w:szCs w:val="20"/>
                            <w:lang w:val="en-AU"/>
                          </w:rPr>
                          <m:t>adj</m:t>
                        </m:r>
                      </m:sub>
                    </m:sSub>
                  </m:den>
                </m:f>
              </m:oMath>
            </m:oMathPara>
          </w:p>
        </w:tc>
        <w:tc>
          <w:tcPr>
            <w:tcW w:w="2592" w:type="pct"/>
          </w:tcPr>
          <w:p w14:paraId="3D1B6879"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Links workforce retention to monthly exits. Turnover is driven by baseline tenure and endogenous behavioural effects that modify average time in position; scenario settings may also scale turnover directly.</w:t>
            </w:r>
          </w:p>
        </w:tc>
      </w:tr>
      <w:tr w:rsidR="00583917" w:rsidRPr="00C21986" w14:paraId="39BCAF68" w14:textId="77777777" w:rsidTr="004C0BA6">
        <w:tc>
          <w:tcPr>
            <w:tcW w:w="310" w:type="pct"/>
          </w:tcPr>
          <w:p w14:paraId="59EA7E16"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6</w:t>
            </w:r>
          </w:p>
        </w:tc>
        <w:tc>
          <w:tcPr>
            <w:tcW w:w="685" w:type="pct"/>
          </w:tcPr>
          <w:p w14:paraId="13F3F7E6"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Workforce gap</w:t>
            </w:r>
          </w:p>
        </w:tc>
        <w:tc>
          <w:tcPr>
            <w:tcW w:w="1413" w:type="pct"/>
            <w:vAlign w:val="center"/>
          </w:tcPr>
          <w:p w14:paraId="1179E73C" w14:textId="77777777" w:rsidR="00583917" w:rsidRPr="00C21986" w:rsidRDefault="00A87832" w:rsidP="00C21986">
            <w:pPr>
              <w:jc w:val="center"/>
              <w:rPr>
                <w:rFonts w:ascii="Times New Roman" w:hAnsi="Times New Roman" w:cs="Times New Roman"/>
                <w:iCs/>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G</m:t>
                    </m:r>
                  </m:e>
                  <m:sub>
                    <m:r>
                      <w:rPr>
                        <w:rFonts w:ascii="Cambria Math" w:hAnsi="Cambria Math" w:cs="Times New Roman"/>
                        <w:sz w:val="20"/>
                        <w:szCs w:val="20"/>
                        <w:lang w:val="en-AU"/>
                      </w:rPr>
                      <m:t>W</m:t>
                    </m:r>
                  </m:sub>
                </m:sSub>
                <m:r>
                  <w:rPr>
                    <w:rFonts w:ascii="Cambria Math" w:hAnsi="Cambria Math" w:cs="Times New Roman"/>
                    <w:sz w:val="20"/>
                    <w:szCs w:val="20"/>
                    <w:lang w:val="en-AU"/>
                  </w:rPr>
                  <m:t xml:space="preserve"> =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req</m:t>
                    </m:r>
                  </m:sub>
                </m:sSub>
                <m:r>
                  <w:rPr>
                    <w:rFonts w:ascii="Cambria Math" w:hAnsi="Cambria Math" w:cs="Times New Roman"/>
                    <w:sz w:val="20"/>
                    <w:szCs w:val="20"/>
                    <w:lang w:val="en-AU"/>
                  </w:rPr>
                  <m:t>-</m:t>
                </m:r>
                <m:r>
                  <w:rPr>
                    <w:rFonts w:ascii="Cambria Math" w:hAnsi="Cambria Math" w:cs="Times New Roman"/>
                    <w:sz w:val="20"/>
                    <w:szCs w:val="20"/>
                    <w:lang w:val="en-AU"/>
                  </w:rPr>
                  <m:t xml:space="preserve"> </m:t>
                </m:r>
                <m:d>
                  <m:dPr>
                    <m:ctrlPr>
                      <w:rPr>
                        <w:rFonts w:ascii="Cambria Math" w:hAnsi="Cambria Math" w:cs="Times New Roman"/>
                        <w:i/>
                        <w:sz w:val="20"/>
                        <w:szCs w:val="20"/>
                        <w:lang w:val="en-AU"/>
                      </w:rPr>
                    </m:ctrlPr>
                  </m:dPr>
                  <m:e>
                    <m:r>
                      <w:rPr>
                        <w:rFonts w:ascii="Cambria Math" w:hAnsi="Cambria Math" w:cs="Times New Roman"/>
                        <w:sz w:val="20"/>
                        <w:szCs w:val="20"/>
                        <w:lang w:val="en-AU"/>
                      </w:rPr>
                      <m:t>W</m:t>
                    </m:r>
                    <m:r>
                      <w:rPr>
                        <w:rFonts w:ascii="Cambria Math" w:hAnsi="Cambria Math" w:cs="Times New Roman"/>
                        <w:sz w:val="20"/>
                        <w:szCs w:val="20"/>
                        <w:lang w:val="en-AU"/>
                      </w:rPr>
                      <m:t>-</m:t>
                    </m:r>
                    <m:r>
                      <w:rPr>
                        <w:rFonts w:ascii="Cambria Math" w:hAnsi="Cambria Math" w:cs="Times New Roman"/>
                        <w:sz w:val="20"/>
                        <w:szCs w:val="20"/>
                        <w:lang w:val="en-AU"/>
                      </w:rPr>
                      <m:t xml:space="preserve"> </m:t>
                    </m:r>
                    <m:sSup>
                      <m:sSupPr>
                        <m:ctrlPr>
                          <w:rPr>
                            <w:rFonts w:ascii="Cambria Math" w:hAnsi="Cambria Math" w:cs="Times New Roman"/>
                            <w:i/>
                            <w:sz w:val="20"/>
                            <w:szCs w:val="20"/>
                            <w:lang w:val="en-AU"/>
                          </w:rPr>
                        </m:ctrlPr>
                      </m:sSupPr>
                      <m:e>
                        <m:r>
                          <w:rPr>
                            <w:rFonts w:ascii="Cambria Math" w:hAnsi="Cambria Math" w:cs="Times New Roman"/>
                            <w:sz w:val="20"/>
                            <w:szCs w:val="20"/>
                            <w:lang w:val="en-AU"/>
                          </w:rPr>
                          <m:t>T</m:t>
                        </m:r>
                      </m:e>
                      <m:sup>
                        <m:r>
                          <w:rPr>
                            <w:rFonts w:ascii="Cambria Math" w:hAnsi="Cambria Math" w:cs="Times New Roman"/>
                            <w:sz w:val="20"/>
                            <w:szCs w:val="20"/>
                            <w:lang w:val="en-AU"/>
                          </w:rPr>
                          <m:t>perc</m:t>
                        </m:r>
                      </m:sup>
                    </m:sSup>
                    <m:r>
                      <w:rPr>
                        <w:rFonts w:ascii="Cambria Math" w:hAnsi="Cambria Math" w:cs="Times New Roman"/>
                        <w:sz w:val="20"/>
                        <w:szCs w:val="20"/>
                        <w:lang w:val="en-AU"/>
                      </w:rPr>
                      <m:t>.</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τ</m:t>
                        </m:r>
                      </m:e>
                      <m:sub>
                        <m:r>
                          <w:rPr>
                            <w:rFonts w:ascii="Cambria Math" w:hAnsi="Cambria Math" w:cs="Times New Roman"/>
                            <w:sz w:val="20"/>
                            <w:szCs w:val="20"/>
                            <w:lang w:val="en-AU"/>
                          </w:rPr>
                          <m:t>fill</m:t>
                        </m:r>
                      </m:sub>
                    </m:sSub>
                  </m:e>
                </m:d>
              </m:oMath>
            </m:oMathPara>
          </w:p>
        </w:tc>
        <w:tc>
          <w:tcPr>
            <w:tcW w:w="2592" w:type="pct"/>
          </w:tcPr>
          <w:p w14:paraId="0CA89083"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Defines the shortfall between required workforce and the effective near-term workforce position. The gap accounts for both currently available workers and expected departures over the vacancy-filling horizon.</w:t>
            </w:r>
          </w:p>
        </w:tc>
      </w:tr>
      <w:tr w:rsidR="00583917" w:rsidRPr="00C21986" w14:paraId="63E752E8" w14:textId="77777777" w:rsidTr="004C0BA6">
        <w:tc>
          <w:tcPr>
            <w:tcW w:w="310" w:type="pct"/>
          </w:tcPr>
          <w:p w14:paraId="16A1FD01"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7</w:t>
            </w:r>
          </w:p>
        </w:tc>
        <w:tc>
          <w:tcPr>
            <w:tcW w:w="685" w:type="pct"/>
          </w:tcPr>
          <w:p w14:paraId="5F73C922"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Workforce recruitment</w:t>
            </w:r>
          </w:p>
        </w:tc>
        <w:tc>
          <w:tcPr>
            <w:tcW w:w="1413" w:type="pct"/>
            <w:vAlign w:val="center"/>
          </w:tcPr>
          <w:p w14:paraId="77F7F8E9" w14:textId="77777777" w:rsidR="00583917" w:rsidRPr="00C21986" w:rsidRDefault="00583917" w:rsidP="00C21986">
            <w:pPr>
              <w:jc w:val="center"/>
              <w:rPr>
                <w:rFonts w:ascii="Times New Roman" w:hAnsi="Times New Roman" w:cs="Times New Roman"/>
                <w:sz w:val="20"/>
                <w:szCs w:val="20"/>
                <w:lang w:val="en-AU"/>
              </w:rPr>
            </w:pPr>
            <m:oMathPara>
              <m:oMath>
                <m:r>
                  <w:rPr>
                    <w:rFonts w:ascii="Cambria Math" w:hAnsi="Cambria Math" w:cs="Times New Roman"/>
                    <w:sz w:val="20"/>
                    <w:szCs w:val="20"/>
                    <w:lang w:val="en-AU"/>
                  </w:rPr>
                  <m:t>R=</m:t>
                </m:r>
                <m:func>
                  <m:funcPr>
                    <m:ctrlPr>
                      <w:rPr>
                        <w:rFonts w:ascii="Cambria Math" w:hAnsi="Cambria Math" w:cs="Times New Roman"/>
                        <w:i/>
                        <w:sz w:val="20"/>
                        <w:szCs w:val="20"/>
                        <w:lang w:val="en-AU"/>
                      </w:rPr>
                    </m:ctrlPr>
                  </m:funcPr>
                  <m:fName>
                    <m:r>
                      <m:rPr>
                        <m:sty m:val="p"/>
                      </m:rPr>
                      <w:rPr>
                        <w:rFonts w:ascii="Cambria Math" w:hAnsi="Cambria Math" w:cs="Times New Roman"/>
                        <w:sz w:val="20"/>
                        <w:szCs w:val="20"/>
                        <w:lang w:val="en-AU"/>
                      </w:rPr>
                      <m:t>max</m:t>
                    </m:r>
                  </m:fName>
                  <m:e>
                    <m:d>
                      <m:dPr>
                        <m:ctrlPr>
                          <w:rPr>
                            <w:rFonts w:ascii="Cambria Math" w:hAnsi="Cambria Math" w:cs="Times New Roman"/>
                            <w:i/>
                            <w:sz w:val="20"/>
                            <w:szCs w:val="20"/>
                            <w:lang w:val="en-AU"/>
                          </w:rPr>
                        </m:ctrlPr>
                      </m:dPr>
                      <m:e>
                        <m:r>
                          <w:rPr>
                            <w:rFonts w:ascii="Cambria Math" w:hAnsi="Cambria Math" w:cs="Times New Roman"/>
                            <w:sz w:val="20"/>
                            <w:szCs w:val="20"/>
                            <w:lang w:val="en-AU"/>
                          </w:rPr>
                          <m:t>0,</m:t>
                        </m:r>
                        <m:f>
                          <m:fPr>
                            <m:ctrlPr>
                              <w:rPr>
                                <w:rFonts w:ascii="Cambria Math" w:hAnsi="Cambria Math" w:cs="Times New Roman"/>
                                <w:i/>
                                <w:sz w:val="20"/>
                                <w:szCs w:val="20"/>
                                <w:lang w:val="en-AU"/>
                              </w:rPr>
                            </m:ctrlPr>
                          </m:fPr>
                          <m:num>
                            <m:sSubSup>
                              <m:sSubSupPr>
                                <m:ctrlPr>
                                  <w:rPr>
                                    <w:rFonts w:ascii="Cambria Math" w:hAnsi="Cambria Math" w:cs="Times New Roman"/>
                                    <w:i/>
                                    <w:sz w:val="20"/>
                                    <w:szCs w:val="20"/>
                                    <w:lang w:val="en-AU"/>
                                  </w:rPr>
                                </m:ctrlPr>
                              </m:sSubSupPr>
                              <m:e>
                                <m:r>
                                  <w:rPr>
                                    <w:rFonts w:ascii="Cambria Math" w:hAnsi="Cambria Math" w:cs="Times New Roman"/>
                                    <w:sz w:val="20"/>
                                    <w:szCs w:val="20"/>
                                    <w:lang w:val="en-AU"/>
                                  </w:rPr>
                                  <m:t>G</m:t>
                                </m:r>
                              </m:e>
                              <m:sub>
                                <m:r>
                                  <w:rPr>
                                    <w:rFonts w:ascii="Cambria Math" w:hAnsi="Cambria Math" w:cs="Times New Roman"/>
                                    <w:sz w:val="20"/>
                                    <w:szCs w:val="20"/>
                                    <w:lang w:val="en-AU"/>
                                  </w:rPr>
                                  <m:t>W</m:t>
                                </m:r>
                              </m:sub>
                              <m:sup>
                                <m:r>
                                  <w:rPr>
                                    <w:rFonts w:ascii="Cambria Math" w:hAnsi="Cambria Math" w:cs="Times New Roman"/>
                                    <w:sz w:val="20"/>
                                    <w:szCs w:val="20"/>
                                    <w:lang w:val="en-AU"/>
                                  </w:rPr>
                                  <m:t>perc</m:t>
                                </m:r>
                              </m:sup>
                            </m:sSubSup>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τ</m:t>
                                </m:r>
                              </m:e>
                              <m:sub>
                                <m:r>
                                  <w:rPr>
                                    <w:rFonts w:ascii="Cambria Math" w:hAnsi="Cambria Math" w:cs="Times New Roman"/>
                                    <w:sz w:val="20"/>
                                    <w:szCs w:val="20"/>
                                    <w:lang w:val="en-AU"/>
                                  </w:rPr>
                                  <m:t>rec</m:t>
                                </m:r>
                              </m:sub>
                            </m:sSub>
                          </m:den>
                        </m:f>
                      </m:e>
                    </m:d>
                  </m:e>
                </m:func>
              </m:oMath>
            </m:oMathPara>
          </w:p>
        </w:tc>
        <w:tc>
          <w:tcPr>
            <w:tcW w:w="2592" w:type="pct"/>
          </w:tcPr>
          <w:p w14:paraId="7F15017F"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Recruitment responds to the positive perceived workforce gap over the recruitment horizon. When the perceived gap is zero or negative, workforce surplus is reduced through ordinary turnover; when a recruitment ceiling is active, realised recruitment is additionally capped.</w:t>
            </w:r>
          </w:p>
        </w:tc>
      </w:tr>
      <w:tr w:rsidR="00583917" w:rsidRPr="00C21986" w14:paraId="358216E1" w14:textId="77777777" w:rsidTr="004C0BA6">
        <w:tc>
          <w:tcPr>
            <w:tcW w:w="310" w:type="pct"/>
          </w:tcPr>
          <w:p w14:paraId="3C646C2B"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lastRenderedPageBreak/>
              <w:t>8</w:t>
            </w:r>
          </w:p>
        </w:tc>
        <w:tc>
          <w:tcPr>
            <w:tcW w:w="685" w:type="pct"/>
          </w:tcPr>
          <w:p w14:paraId="739677F2"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Adjusted care-seeking presentations</w:t>
            </w:r>
          </w:p>
        </w:tc>
        <w:tc>
          <w:tcPr>
            <w:tcW w:w="1413" w:type="pct"/>
            <w:vAlign w:val="center"/>
          </w:tcPr>
          <w:p w14:paraId="6E84864F"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CS</m:t>
                    </m:r>
                  </m:e>
                  <m:sub>
                    <m:r>
                      <w:rPr>
                        <w:rFonts w:ascii="Cambria Math" w:hAnsi="Cambria Math" w:cs="Times New Roman"/>
                        <w:sz w:val="20"/>
                        <w:szCs w:val="20"/>
                        <w:lang w:val="en-AU"/>
                      </w:rPr>
                      <m:t>adj</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MIH</m:t>
                    </m:r>
                  </m:sub>
                </m:sSub>
                <m:sSub>
                  <m:sSubPr>
                    <m:ctrlPr>
                      <w:rPr>
                        <w:rFonts w:ascii="Cambria Math" w:hAnsi="Cambria Math" w:cs="Times New Roman"/>
                        <w:i/>
                        <w:sz w:val="20"/>
                        <w:szCs w:val="20"/>
                        <w:lang w:val="en-AU"/>
                      </w:rPr>
                    </m:ctrlPr>
                  </m:sSubPr>
                  <m:e>
                    <m:r>
                      <w:rPr>
                        <w:rFonts w:ascii="Cambria Math" w:hAnsi="Cambria Math" w:cs="Times New Roman"/>
                        <w:sz w:val="20"/>
                        <w:szCs w:val="20"/>
                        <w:lang w:val="en-AU"/>
                      </w:rPr>
                      <m:t>.</m:t>
                    </m:r>
                    <m:r>
                      <w:rPr>
                        <w:rFonts w:ascii="Cambria Math" w:hAnsi="Cambria Math" w:cs="Times New Roman"/>
                        <w:sz w:val="20"/>
                        <w:szCs w:val="20"/>
                        <w:lang w:val="en-AU"/>
                      </w:rPr>
                      <m:t>CSF</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m</m:t>
                    </m:r>
                  </m:e>
                  <m:sub>
                    <m:r>
                      <w:rPr>
                        <w:rFonts w:ascii="Cambria Math" w:hAnsi="Cambria Math" w:cs="Times New Roman"/>
                        <w:sz w:val="20"/>
                        <w:szCs w:val="20"/>
                        <w:lang w:val="en-AU"/>
                      </w:rPr>
                      <m:t>CSM</m:t>
                    </m:r>
                  </m:sub>
                </m:sSub>
              </m:oMath>
            </m:oMathPara>
          </w:p>
        </w:tc>
        <w:tc>
          <w:tcPr>
            <w:tcW w:w="2592" w:type="pct"/>
          </w:tcPr>
          <w:p w14:paraId="6D21673A"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Represents how societal perceptions of waiting affect demand at pathway entry. Unfavourable perceptions associated with prolonged waiting can suppress primary-care presentation, whereas favourable perceptions can increase presentation above baseline.</w:t>
            </w:r>
          </w:p>
        </w:tc>
      </w:tr>
      <w:tr w:rsidR="00583917" w:rsidRPr="00C21986" w14:paraId="1B058FEB" w14:textId="77777777" w:rsidTr="004C0BA6">
        <w:tc>
          <w:tcPr>
            <w:tcW w:w="310" w:type="pct"/>
          </w:tcPr>
          <w:p w14:paraId="5AB4847D"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9</w:t>
            </w:r>
          </w:p>
        </w:tc>
        <w:tc>
          <w:tcPr>
            <w:tcW w:w="685" w:type="pct"/>
          </w:tcPr>
          <w:p w14:paraId="5A4B8594"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Indicated professional passion</w:t>
            </w:r>
          </w:p>
        </w:tc>
        <w:tc>
          <w:tcPr>
            <w:tcW w:w="1413" w:type="pct"/>
            <w:vAlign w:val="center"/>
          </w:tcPr>
          <w:p w14:paraId="1E505443" w14:textId="77777777" w:rsidR="00583917" w:rsidRPr="00C21986" w:rsidRDefault="00A87832" w:rsidP="00C21986">
            <w:pPr>
              <w:jc w:val="center"/>
              <w:rPr>
                <w:rFonts w:ascii="Times New Roman" w:hAnsi="Times New Roman" w:cs="Times New Roman"/>
                <w:sz w:val="20"/>
                <w:szCs w:val="20"/>
                <w:lang w:val="en-AU"/>
              </w:rPr>
            </w:pPr>
            <m:oMathPara>
              <m:oMath>
                <m:sSup>
                  <m:sSupPr>
                    <m:ctrlPr>
                      <w:rPr>
                        <w:rFonts w:ascii="Cambria Math" w:hAnsi="Cambria Math" w:cs="Times New Roman"/>
                        <w:i/>
                        <w:sz w:val="20"/>
                        <w:szCs w:val="20"/>
                        <w:lang w:val="en-AU"/>
                      </w:rPr>
                    </m:ctrlPr>
                  </m:sSupPr>
                  <m:e>
                    <m:r>
                      <w:rPr>
                        <w:rFonts w:ascii="Cambria Math" w:hAnsi="Cambria Math" w:cs="Times New Roman"/>
                        <w:sz w:val="20"/>
                        <w:szCs w:val="20"/>
                        <w:lang w:val="en-AU"/>
                      </w:rPr>
                      <m:t>PP</m:t>
                    </m:r>
                  </m:e>
                  <m:sup>
                    <m:r>
                      <w:rPr>
                        <w:rFonts w:ascii="Cambria Math" w:hAnsi="Cambria Math" w:cs="Times New Roman"/>
                        <w:sz w:val="20"/>
                        <w:szCs w:val="20"/>
                        <w:lang w:val="en-AU"/>
                      </w:rPr>
                      <m:t>*</m:t>
                    </m:r>
                  </m:sup>
                </m:sSup>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PP</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d>
                  <m:dPr>
                    <m:ctrlPr>
                      <w:rPr>
                        <w:rFonts w:ascii="Cambria Math" w:hAnsi="Cambria Math" w:cs="Times New Roman"/>
                        <w:i/>
                        <w:sz w:val="20"/>
                        <w:szCs w:val="20"/>
                        <w:lang w:val="en-AU"/>
                      </w:rPr>
                    </m:ctrlPr>
                  </m:dPr>
                  <m:e>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E</m:t>
                        </m:r>
                      </m:sub>
                    </m:sSub>
                    <m:r>
                      <w:rPr>
                        <w:rFonts w:ascii="Cambria Math" w:hAnsi="Cambria Math" w:cs="Times New Roman"/>
                        <w:sz w:val="20"/>
                        <w:szCs w:val="20"/>
                        <w:lang w:val="en-AU"/>
                      </w:rPr>
                      <m:t>.</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m</m:t>
                        </m:r>
                      </m:e>
                      <m:sub>
                        <m:r>
                          <w:rPr>
                            <w:rFonts w:ascii="Cambria Math" w:hAnsi="Cambria Math" w:cs="Times New Roman"/>
                            <w:sz w:val="20"/>
                            <w:szCs w:val="20"/>
                            <w:lang w:val="en-AU"/>
                          </w:rPr>
                          <m:t>E</m:t>
                        </m:r>
                      </m:sub>
                    </m:sSub>
                    <m:r>
                      <w:rPr>
                        <w:rFonts w:ascii="Cambria Math" w:hAnsi="Cambria Math" w:cs="Times New Roman"/>
                        <w:sz w:val="20"/>
                        <w:szCs w:val="20"/>
                        <w:lang w:val="en-AU"/>
                      </w:rPr>
                      <m:t>+</m:t>
                    </m:r>
                    <m:d>
                      <m:dPr>
                        <m:ctrlPr>
                          <w:rPr>
                            <w:rFonts w:ascii="Cambria Math" w:hAnsi="Cambria Math" w:cs="Times New Roman"/>
                            <w:i/>
                            <w:sz w:val="20"/>
                            <w:szCs w:val="20"/>
                            <w:lang w:val="en-AU"/>
                          </w:rPr>
                        </m:ctrlPr>
                      </m:dPr>
                      <m:e>
                        <m:r>
                          <w:rPr>
                            <w:rFonts w:ascii="Cambria Math" w:hAnsi="Cambria Math" w:cs="Times New Roman"/>
                            <w:sz w:val="20"/>
                            <w:szCs w:val="20"/>
                            <w:lang w:val="en-AU"/>
                          </w:rPr>
                          <m:t xml:space="preserve">1-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E</m:t>
                            </m:r>
                          </m:sub>
                        </m:sSub>
                      </m:e>
                    </m:d>
                    <m:r>
                      <w:rPr>
                        <w:rFonts w:ascii="Cambria Math" w:hAnsi="Cambria Math" w:cs="Times New Roman"/>
                        <w:sz w:val="20"/>
                        <w:szCs w:val="20"/>
                        <w:lang w:val="en-AU"/>
                      </w:rPr>
                      <m:t>.</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m</m:t>
                        </m:r>
                      </m:e>
                      <m:sub>
                        <m:r>
                          <w:rPr>
                            <w:rFonts w:ascii="Cambria Math" w:hAnsi="Cambria Math" w:cs="Times New Roman"/>
                            <w:sz w:val="20"/>
                            <w:szCs w:val="20"/>
                            <w:lang w:val="en-AU"/>
                          </w:rPr>
                          <m:t>M</m:t>
                        </m:r>
                      </m:sub>
                    </m:sSub>
                  </m:e>
                </m:d>
              </m:oMath>
            </m:oMathPara>
          </w:p>
        </w:tc>
        <w:tc>
          <w:tcPr>
            <w:tcW w:w="2592" w:type="pct"/>
          </w:tcPr>
          <w:p w14:paraId="0ABD4B7C"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Combines energy and morale as weighted contributors to professional passion. This pathway links workforce strain and perceived system performance to subsequent psychosocial workforce dynamics.</w:t>
            </w:r>
          </w:p>
        </w:tc>
      </w:tr>
      <w:tr w:rsidR="00583917" w:rsidRPr="00C21986" w14:paraId="40D21995" w14:textId="77777777" w:rsidTr="004C0BA6">
        <w:tc>
          <w:tcPr>
            <w:tcW w:w="310" w:type="pct"/>
          </w:tcPr>
          <w:p w14:paraId="3F6EE2DE"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10</w:t>
            </w:r>
          </w:p>
        </w:tc>
        <w:tc>
          <w:tcPr>
            <w:tcW w:w="685" w:type="pct"/>
          </w:tcPr>
          <w:p w14:paraId="1C0236D7"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Indicated service quality</w:t>
            </w:r>
          </w:p>
        </w:tc>
        <w:tc>
          <w:tcPr>
            <w:tcW w:w="1413" w:type="pct"/>
            <w:vAlign w:val="center"/>
          </w:tcPr>
          <w:p w14:paraId="1BFEA7EE" w14:textId="77777777" w:rsidR="00583917" w:rsidRPr="00C21986" w:rsidRDefault="00A87832" w:rsidP="00C21986">
            <w:pPr>
              <w:jc w:val="center"/>
              <w:rPr>
                <w:rFonts w:ascii="Times New Roman" w:hAnsi="Times New Roman" w:cs="Times New Roman"/>
                <w:sz w:val="20"/>
                <w:szCs w:val="20"/>
                <w:lang w:val="en-AU"/>
              </w:rPr>
            </w:pPr>
            <m:oMathPara>
              <m:oMath>
                <m:sSup>
                  <m:sSupPr>
                    <m:ctrlPr>
                      <w:rPr>
                        <w:rFonts w:ascii="Cambria Math" w:hAnsi="Cambria Math" w:cs="Times New Roman"/>
                        <w:i/>
                        <w:sz w:val="20"/>
                        <w:szCs w:val="20"/>
                        <w:lang w:val="en-AU"/>
                      </w:rPr>
                    </m:ctrlPr>
                  </m:sSupPr>
                  <m:e>
                    <m:r>
                      <w:rPr>
                        <w:rFonts w:ascii="Cambria Math" w:hAnsi="Cambria Math" w:cs="Times New Roman"/>
                        <w:sz w:val="20"/>
                        <w:szCs w:val="20"/>
                        <w:lang w:val="en-AU"/>
                      </w:rPr>
                      <m:t>SQ</m:t>
                    </m:r>
                  </m:e>
                  <m:sup>
                    <m:r>
                      <w:rPr>
                        <w:rFonts w:ascii="Cambria Math" w:hAnsi="Cambria Math" w:cs="Times New Roman"/>
                        <w:sz w:val="20"/>
                        <w:szCs w:val="20"/>
                        <w:lang w:val="en-AU"/>
                      </w:rPr>
                      <m:t>*</m:t>
                    </m:r>
                  </m:sup>
                </m:sSup>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SQ</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d>
                  <m:dPr>
                    <m:ctrlPr>
                      <w:rPr>
                        <w:rFonts w:ascii="Cambria Math" w:hAnsi="Cambria Math" w:cs="Times New Roman"/>
                        <w:i/>
                        <w:sz w:val="20"/>
                        <w:szCs w:val="20"/>
                        <w:lang w:val="en-AU"/>
                      </w:rPr>
                    </m:ctrlPr>
                  </m:dPr>
                  <m:e>
                    <m:sSubSup>
                      <m:sSubSupPr>
                        <m:ctrlPr>
                          <w:rPr>
                            <w:rFonts w:ascii="Cambria Math" w:hAnsi="Cambria Math" w:cs="Times New Roman"/>
                            <w:i/>
                            <w:sz w:val="20"/>
                            <w:szCs w:val="20"/>
                            <w:lang w:val="en-AU"/>
                          </w:rPr>
                        </m:ctrlPr>
                      </m:sSubSupPr>
                      <m:e>
                        <m:r>
                          <w:rPr>
                            <w:rFonts w:ascii="Cambria Math" w:hAnsi="Cambria Math" w:cs="Times New Roman"/>
                            <w:sz w:val="20"/>
                            <w:szCs w:val="20"/>
                            <w:lang w:val="en-AU"/>
                          </w:rPr>
                          <m:t>m</m:t>
                        </m:r>
                      </m:e>
                      <m:sub>
                        <m:r>
                          <w:rPr>
                            <w:rFonts w:ascii="Cambria Math" w:hAnsi="Cambria Math" w:cs="Times New Roman"/>
                            <w:sz w:val="20"/>
                            <w:szCs w:val="20"/>
                            <w:lang w:val="en-AU"/>
                          </w:rPr>
                          <m:t>PP</m:t>
                        </m:r>
                      </m:sub>
                      <m:sup>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P</m:t>
                            </m:r>
                          </m:sub>
                        </m:sSub>
                      </m:sup>
                    </m:sSubSup>
                    <m:r>
                      <w:rPr>
                        <w:rFonts w:ascii="Cambria Math" w:hAnsi="Cambria Math" w:cs="Times New Roman"/>
                        <w:sz w:val="20"/>
                        <w:szCs w:val="20"/>
                        <w:lang w:val="en-AU"/>
                      </w:rPr>
                      <m:t>.</m:t>
                    </m:r>
                    <m:sSubSup>
                      <m:sSubSupPr>
                        <m:ctrlPr>
                          <w:rPr>
                            <w:rFonts w:ascii="Cambria Math" w:hAnsi="Cambria Math" w:cs="Times New Roman"/>
                            <w:i/>
                            <w:sz w:val="20"/>
                            <w:szCs w:val="20"/>
                            <w:lang w:val="en-AU"/>
                          </w:rPr>
                        </m:ctrlPr>
                      </m:sSubSupPr>
                      <m:e>
                        <m:r>
                          <w:rPr>
                            <w:rFonts w:ascii="Cambria Math" w:hAnsi="Cambria Math" w:cs="Times New Roman"/>
                            <w:sz w:val="20"/>
                            <w:szCs w:val="20"/>
                            <w:lang w:val="en-AU"/>
                          </w:rPr>
                          <m:t>m</m:t>
                        </m:r>
                      </m:e>
                      <m:sub>
                        <m:r>
                          <w:rPr>
                            <w:rFonts w:ascii="Cambria Math" w:hAnsi="Cambria Math" w:cs="Times New Roman"/>
                            <w:sz w:val="20"/>
                            <w:szCs w:val="20"/>
                            <w:lang w:val="en-AU"/>
                          </w:rPr>
                          <m:t>EXP</m:t>
                        </m:r>
                      </m:sub>
                      <m:sup>
                        <m:d>
                          <m:dPr>
                            <m:ctrlPr>
                              <w:rPr>
                                <w:rFonts w:ascii="Cambria Math" w:hAnsi="Cambria Math" w:cs="Times New Roman"/>
                                <w:i/>
                                <w:sz w:val="20"/>
                                <w:szCs w:val="20"/>
                                <w:lang w:val="en-AU"/>
                              </w:rPr>
                            </m:ctrlPr>
                          </m:dPr>
                          <m:e>
                            <m:r>
                              <w:rPr>
                                <w:rFonts w:ascii="Cambria Math" w:hAnsi="Cambria Math" w:cs="Times New Roman"/>
                                <w:sz w:val="20"/>
                                <w:szCs w:val="20"/>
                                <w:lang w:val="en-AU"/>
                              </w:rPr>
                              <m:t>1-</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w</m:t>
                                </m:r>
                              </m:e>
                              <m:sub>
                                <m:r>
                                  <w:rPr>
                                    <w:rFonts w:ascii="Cambria Math" w:hAnsi="Cambria Math" w:cs="Times New Roman"/>
                                    <w:sz w:val="20"/>
                                    <w:szCs w:val="20"/>
                                    <w:lang w:val="en-AU"/>
                                  </w:rPr>
                                  <m:t>P</m:t>
                                </m:r>
                              </m:sub>
                            </m:sSub>
                          </m:e>
                        </m:d>
                      </m:sup>
                    </m:sSubSup>
                  </m:e>
                </m:d>
              </m:oMath>
            </m:oMathPara>
          </w:p>
        </w:tc>
        <w:tc>
          <w:tcPr>
            <w:tcW w:w="2592" w:type="pct"/>
          </w:tcPr>
          <w:p w14:paraId="137D166D"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Represents indicated service quality as a multiplicative function of professional passion and workforce experience. Weakness in either component constrains indicated quality; lower realised service quality can subsequently increase in-treatment dropout.</w:t>
            </w:r>
          </w:p>
        </w:tc>
      </w:tr>
      <w:tr w:rsidR="00583917" w:rsidRPr="00C21986" w14:paraId="1993037D" w14:textId="77777777" w:rsidTr="004C0BA6">
        <w:tc>
          <w:tcPr>
            <w:tcW w:w="310" w:type="pct"/>
          </w:tcPr>
          <w:p w14:paraId="572C35A1"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11</w:t>
            </w:r>
          </w:p>
        </w:tc>
        <w:tc>
          <w:tcPr>
            <w:tcW w:w="685" w:type="pct"/>
          </w:tcPr>
          <w:p w14:paraId="56124CC9"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Supply-Demand Indicator (SDI)</w:t>
            </w:r>
          </w:p>
        </w:tc>
        <w:tc>
          <w:tcPr>
            <w:tcW w:w="1413" w:type="pct"/>
            <w:vAlign w:val="center"/>
          </w:tcPr>
          <w:p w14:paraId="1718990F" w14:textId="77777777" w:rsidR="00583917" w:rsidRPr="00C21986" w:rsidRDefault="00583917" w:rsidP="00C21986">
            <w:pPr>
              <w:jc w:val="center"/>
              <w:rPr>
                <w:rFonts w:ascii="Times New Roman" w:hAnsi="Times New Roman" w:cs="Times New Roman"/>
                <w:sz w:val="20"/>
                <w:szCs w:val="20"/>
                <w:lang w:val="en-AU"/>
              </w:rPr>
            </w:pPr>
            <m:oMathPara>
              <m:oMath>
                <m:r>
                  <w:rPr>
                    <w:rFonts w:ascii="Cambria Math" w:hAnsi="Cambria Math" w:cs="Times New Roman"/>
                    <w:sz w:val="20"/>
                    <w:szCs w:val="20"/>
                    <w:lang w:val="en-AU"/>
                  </w:rPr>
                  <m:t xml:space="preserve">SDI= </m:t>
                </m:r>
                <m:f>
                  <m:fPr>
                    <m:ctrlPr>
                      <w:rPr>
                        <w:rFonts w:ascii="Cambria Math" w:hAnsi="Cambria Math" w:cs="Times New Roman"/>
                        <w:i/>
                        <w:sz w:val="20"/>
                        <w:szCs w:val="20"/>
                        <w:lang w:val="en-AU"/>
                      </w:rPr>
                    </m:ctrlPr>
                  </m:fPr>
                  <m:num>
                    <m:sSub>
                      <m:sSubPr>
                        <m:ctrlPr>
                          <w:rPr>
                            <w:rFonts w:ascii="Cambria Math" w:hAnsi="Cambria Math" w:cs="Times New Roman"/>
                            <w:i/>
                            <w:sz w:val="20"/>
                            <w:szCs w:val="20"/>
                            <w:lang w:val="en-AU"/>
                          </w:rPr>
                        </m:ctrlPr>
                      </m:sSubPr>
                      <m:e>
                        <m:r>
                          <w:rPr>
                            <w:rFonts w:ascii="Cambria Math" w:hAnsi="Cambria Math" w:cs="Times New Roman"/>
                            <w:sz w:val="20"/>
                            <w:szCs w:val="20"/>
                            <w:lang w:val="en-AU"/>
                          </w:rPr>
                          <m:t>C</m:t>
                        </m:r>
                      </m:e>
                      <m:sub>
                        <m:r>
                          <w:rPr>
                            <w:rFonts w:ascii="Cambria Math" w:hAnsi="Cambria Math" w:cs="Times New Roman"/>
                            <w:sz w:val="20"/>
                            <w:szCs w:val="20"/>
                            <w:lang w:val="en-AU"/>
                          </w:rPr>
                          <m:t>norm</m:t>
                        </m:r>
                      </m:sub>
                    </m:sSub>
                  </m:num>
                  <m:den>
                    <m:d>
                      <m:dPr>
                        <m:ctrlPr>
                          <w:rPr>
                            <w:rFonts w:ascii="Cambria Math" w:hAnsi="Cambria Math" w:cs="Times New Roman"/>
                            <w:i/>
                            <w:sz w:val="20"/>
                            <w:szCs w:val="20"/>
                            <w:lang w:val="en-AU"/>
                          </w:rPr>
                        </m:ctrlPr>
                      </m:dPr>
                      <m:e>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AW</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IT</m:t>
                            </m:r>
                          </m:sub>
                        </m:sSub>
                      </m:e>
                    </m:d>
                  </m:den>
                </m:f>
                <m:r>
                  <w:rPr>
                    <w:rFonts w:ascii="Cambria Math" w:hAnsi="Cambria Math" w:cs="Times New Roman"/>
                    <w:sz w:val="20"/>
                    <w:szCs w:val="20"/>
                    <w:lang w:val="en-AU"/>
                  </w:rPr>
                  <m:t xml:space="preserve">= </m:t>
                </m:r>
                <m:f>
                  <m:fPr>
                    <m:ctrlPr>
                      <w:rPr>
                        <w:rFonts w:ascii="Cambria Math" w:hAnsi="Cambria Math" w:cs="Times New Roman"/>
                        <w:i/>
                        <w:sz w:val="20"/>
                        <w:szCs w:val="20"/>
                        <w:lang w:val="en-AU"/>
                      </w:rPr>
                    </m:ctrlPr>
                  </m:fPr>
                  <m:num>
                    <m:r>
                      <w:rPr>
                        <w:rFonts w:ascii="Cambria Math" w:hAnsi="Cambria Math" w:cs="Times New Roman"/>
                        <w:sz w:val="20"/>
                        <w:szCs w:val="20"/>
                        <w:lang w:val="en-AU"/>
                      </w:rPr>
                      <m:t>W.s.u</m:t>
                    </m:r>
                  </m:num>
                  <m:den>
                    <m:r>
                      <w:rPr>
                        <w:rFonts w:ascii="Cambria Math" w:hAnsi="Cambria Math" w:cs="Times New Roman"/>
                        <w:sz w:val="20"/>
                        <w:szCs w:val="20"/>
                        <w:lang w:val="en-AU"/>
                      </w:rPr>
                      <m:t>p.</m:t>
                    </m:r>
                    <m:d>
                      <m:dPr>
                        <m:ctrlPr>
                          <w:rPr>
                            <w:rFonts w:ascii="Cambria Math" w:hAnsi="Cambria Math" w:cs="Times New Roman"/>
                            <w:i/>
                            <w:sz w:val="20"/>
                            <w:szCs w:val="20"/>
                            <w:lang w:val="en-AU"/>
                          </w:rPr>
                        </m:ctrlPr>
                      </m:dPr>
                      <m:e>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AW</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IT</m:t>
                            </m:r>
                          </m:sub>
                        </m:sSub>
                      </m:e>
                    </m:d>
                  </m:den>
                </m:f>
              </m:oMath>
            </m:oMathPara>
          </w:p>
        </w:tc>
        <w:tc>
          <w:tcPr>
            <w:tcW w:w="2592" w:type="pct"/>
          </w:tcPr>
          <w:p w14:paraId="25B4865A"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Indicates structural balance between baseline service-derived caseload capacity and current treatment demand. SDI below 1 indicates structural shortfall; SDI above 1 indicates surplus baseline capacity. It is interpreted alongside additional indicators because it does not capture unmet need outside the pathway or workforce strain.</w:t>
            </w:r>
          </w:p>
        </w:tc>
      </w:tr>
      <w:tr w:rsidR="00583917" w:rsidRPr="00C21986" w14:paraId="6A57DAE3" w14:textId="77777777" w:rsidTr="004C0BA6">
        <w:tc>
          <w:tcPr>
            <w:tcW w:w="310" w:type="pct"/>
          </w:tcPr>
          <w:p w14:paraId="37F98F41"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12</w:t>
            </w:r>
          </w:p>
        </w:tc>
        <w:tc>
          <w:tcPr>
            <w:tcW w:w="685" w:type="pct"/>
          </w:tcPr>
          <w:p w14:paraId="7BF976F8"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Care-seeking prevalence</w:t>
            </w:r>
          </w:p>
        </w:tc>
        <w:tc>
          <w:tcPr>
            <w:tcW w:w="1413" w:type="pct"/>
            <w:vAlign w:val="center"/>
          </w:tcPr>
          <w:p w14:paraId="2C55F770" w14:textId="77777777" w:rsidR="00583917" w:rsidRPr="00C21986" w:rsidRDefault="00583917" w:rsidP="00C21986">
            <w:pPr>
              <w:jc w:val="center"/>
              <w:rPr>
                <w:rFonts w:ascii="Times New Roman" w:hAnsi="Times New Roman" w:cs="Times New Roman"/>
                <w:sz w:val="20"/>
                <w:szCs w:val="20"/>
                <w:lang w:val="en-AU"/>
              </w:rPr>
            </w:pPr>
            <m:oMathPara>
              <m:oMath>
                <m:r>
                  <w:rPr>
                    <w:rFonts w:ascii="Cambria Math" w:hAnsi="Cambria Math" w:cs="Times New Roman"/>
                    <w:sz w:val="20"/>
                    <w:szCs w:val="20"/>
                    <w:lang w:val="en-AU"/>
                  </w:rPr>
                  <m:t xml:space="preserve">CP= </m:t>
                </m:r>
                <m:f>
                  <m:fPr>
                    <m:ctrlPr>
                      <w:rPr>
                        <w:rFonts w:ascii="Cambria Math" w:hAnsi="Cambria Math" w:cs="Times New Roman"/>
                        <w:i/>
                        <w:sz w:val="20"/>
                        <w:szCs w:val="20"/>
                        <w:lang w:val="en-AU"/>
                      </w:rPr>
                    </m:ctrlPr>
                  </m:fPr>
                  <m:num>
                    <m:sSub>
                      <m:sSubPr>
                        <m:ctrlPr>
                          <w:rPr>
                            <w:rFonts w:ascii="Cambria Math" w:hAnsi="Cambria Math" w:cs="Times New Roman"/>
                            <w:i/>
                            <w:sz w:val="20"/>
                            <w:szCs w:val="20"/>
                            <w:lang w:val="en-AU"/>
                          </w:rPr>
                        </m:ctrlPr>
                      </m:sSubPr>
                      <m:e>
                        <m:r>
                          <w:rPr>
                            <w:rFonts w:ascii="Cambria Math" w:hAnsi="Cambria Math" w:cs="Times New Roman"/>
                            <w:sz w:val="20"/>
                            <w:szCs w:val="20"/>
                            <w:lang w:val="en-AU"/>
                          </w:rPr>
                          <m:t>MH</m:t>
                        </m:r>
                      </m:e>
                      <m:sub>
                        <m:r>
                          <w:rPr>
                            <w:rFonts w:ascii="Cambria Math" w:hAnsi="Cambria Math" w:cs="Times New Roman"/>
                            <w:sz w:val="20"/>
                            <w:szCs w:val="20"/>
                            <w:lang w:val="en-AU"/>
                          </w:rPr>
                          <m:t>care</m:t>
                        </m:r>
                      </m:sub>
                    </m:sSub>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MH</m:t>
                        </m:r>
                      </m:e>
                      <m:sub>
                        <m:r>
                          <w:rPr>
                            <w:rFonts w:ascii="Cambria Math" w:hAnsi="Cambria Math" w:cs="Times New Roman"/>
                            <w:sz w:val="20"/>
                            <w:szCs w:val="20"/>
                            <w:lang w:val="en-AU"/>
                          </w:rPr>
                          <m:t>total</m:t>
                        </m:r>
                      </m:sub>
                    </m:sSub>
                  </m:den>
                </m:f>
              </m:oMath>
            </m:oMathPara>
          </w:p>
        </w:tc>
        <w:tc>
          <w:tcPr>
            <w:tcW w:w="2592" w:type="pct"/>
          </w:tcPr>
          <w:p w14:paraId="79025A87"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Measures the proportion of people experiencing mental ill-health who are in some form of care. Because patients awaiting treatment are counted as being in care, this indicator may change only modestly when wait-list accumulation occurs alongside untreated population growth.</w:t>
            </w:r>
          </w:p>
        </w:tc>
      </w:tr>
      <w:tr w:rsidR="00583917" w:rsidRPr="00C21986" w14:paraId="663562DC" w14:textId="77777777" w:rsidTr="004C0BA6">
        <w:tc>
          <w:tcPr>
            <w:tcW w:w="310" w:type="pct"/>
          </w:tcPr>
          <w:p w14:paraId="47751B65"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13</w:t>
            </w:r>
          </w:p>
        </w:tc>
        <w:tc>
          <w:tcPr>
            <w:tcW w:w="685" w:type="pct"/>
          </w:tcPr>
          <w:p w14:paraId="72A8BEDD"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Suppressed care-seeking gap</w:t>
            </w:r>
          </w:p>
        </w:tc>
        <w:tc>
          <w:tcPr>
            <w:tcW w:w="1413" w:type="pct"/>
            <w:vAlign w:val="center"/>
          </w:tcPr>
          <w:p w14:paraId="4EAF27EF"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G</m:t>
                    </m:r>
                  </m:e>
                  <m:sub>
                    <m:r>
                      <w:rPr>
                        <w:rFonts w:ascii="Cambria Math" w:hAnsi="Cambria Math" w:cs="Times New Roman"/>
                        <w:sz w:val="20"/>
                        <w:szCs w:val="20"/>
                        <w:lang w:val="en-AU"/>
                      </w:rPr>
                      <m:t>CS</m:t>
                    </m:r>
                  </m:sub>
                </m:sSub>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MIH</m:t>
                    </m:r>
                  </m:sub>
                </m:sSub>
                <m:r>
                  <w:rPr>
                    <w:rFonts w:ascii="Cambria Math" w:hAnsi="Cambria Math" w:cs="Times New Roman"/>
                    <w:sz w:val="20"/>
                    <w:szCs w:val="20"/>
                    <w:lang w:val="en-AU"/>
                  </w:rPr>
                  <m:t xml:space="preserve"> .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CSF</m:t>
                    </m:r>
                  </m:e>
                  <m:sub>
                    <m:r>
                      <w:rPr>
                        <w:rFonts w:ascii="Cambria Math" w:hAnsi="Cambria Math" w:cs="Times New Roman"/>
                        <w:sz w:val="20"/>
                        <w:szCs w:val="20"/>
                        <w:lang w:val="en-AU"/>
                      </w:rPr>
                      <m:t>norm</m:t>
                    </m:r>
                  </m:sub>
                </m:sSub>
                <m:r>
                  <w:rPr>
                    <w:rFonts w:ascii="Cambria Math" w:hAnsi="Cambria Math" w:cs="Times New Roman"/>
                    <w:sz w:val="20"/>
                    <w:szCs w:val="20"/>
                    <w:lang w:val="en-AU"/>
                  </w:rPr>
                  <m:t>-</m:t>
                </m:r>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CS</m:t>
                    </m:r>
                  </m:e>
                  <m:sub>
                    <m:r>
                      <w:rPr>
                        <w:rFonts w:ascii="Cambria Math" w:hAnsi="Cambria Math" w:cs="Times New Roman"/>
                        <w:sz w:val="20"/>
                        <w:szCs w:val="20"/>
                        <w:lang w:val="en-AU"/>
                      </w:rPr>
                      <m:t>adj</m:t>
                    </m:r>
                  </m:sub>
                </m:sSub>
              </m:oMath>
            </m:oMathPara>
          </w:p>
        </w:tc>
        <w:tc>
          <w:tcPr>
            <w:tcW w:w="2592" w:type="pct"/>
          </w:tcPr>
          <w:p w14:paraId="309BDB36"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Estimates the absolute difference between baseline expected primary care presentations and actual adjusted presentations after the societal perception multiplier is applied. It is an indicator of potential unmet demand before entry into primary care.</w:t>
            </w:r>
          </w:p>
        </w:tc>
      </w:tr>
      <w:tr w:rsidR="00583917" w:rsidRPr="00C21986" w14:paraId="15F69148" w14:textId="77777777" w:rsidTr="004C0BA6">
        <w:tc>
          <w:tcPr>
            <w:tcW w:w="310" w:type="pct"/>
          </w:tcPr>
          <w:p w14:paraId="291E6D43"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14</w:t>
            </w:r>
          </w:p>
        </w:tc>
        <w:tc>
          <w:tcPr>
            <w:tcW w:w="685" w:type="pct"/>
          </w:tcPr>
          <w:p w14:paraId="0F5266EE"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Suppressed care-seeking fraction</w:t>
            </w:r>
          </w:p>
        </w:tc>
        <w:tc>
          <w:tcPr>
            <w:tcW w:w="1413" w:type="pct"/>
            <w:vAlign w:val="center"/>
          </w:tcPr>
          <w:p w14:paraId="674365CA"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F</m:t>
                    </m:r>
                  </m:e>
                  <m:sub>
                    <m:r>
                      <w:rPr>
                        <w:rFonts w:ascii="Cambria Math" w:hAnsi="Cambria Math" w:cs="Times New Roman"/>
                        <w:sz w:val="20"/>
                        <w:szCs w:val="20"/>
                        <w:lang w:val="en-AU"/>
                      </w:rPr>
                      <m:t>CS</m:t>
                    </m:r>
                  </m:sub>
                </m:sSub>
                <m:r>
                  <w:rPr>
                    <w:rFonts w:ascii="Cambria Math" w:hAnsi="Cambria Math" w:cs="Times New Roman"/>
                    <w:sz w:val="20"/>
                    <w:szCs w:val="20"/>
                    <w:lang w:val="en-AU"/>
                  </w:rPr>
                  <m:t xml:space="preserve">= </m:t>
                </m:r>
                <m:f>
                  <m:fPr>
                    <m:ctrlPr>
                      <w:rPr>
                        <w:rFonts w:ascii="Cambria Math" w:hAnsi="Cambria Math" w:cs="Times New Roman"/>
                        <w:i/>
                        <w:sz w:val="20"/>
                        <w:szCs w:val="20"/>
                        <w:lang w:val="en-AU"/>
                      </w:rPr>
                    </m:ctrlPr>
                  </m:fPr>
                  <m:num>
                    <m:sSub>
                      <m:sSubPr>
                        <m:ctrlPr>
                          <w:rPr>
                            <w:rFonts w:ascii="Cambria Math" w:hAnsi="Cambria Math" w:cs="Times New Roman"/>
                            <w:i/>
                            <w:sz w:val="20"/>
                            <w:szCs w:val="20"/>
                            <w:lang w:val="en-AU"/>
                          </w:rPr>
                        </m:ctrlPr>
                      </m:sSubPr>
                      <m:e>
                        <m:r>
                          <w:rPr>
                            <w:rFonts w:ascii="Cambria Math" w:hAnsi="Cambria Math" w:cs="Times New Roman"/>
                            <w:sz w:val="20"/>
                            <w:szCs w:val="20"/>
                            <w:lang w:val="en-AU"/>
                          </w:rPr>
                          <m:t>G</m:t>
                        </m:r>
                      </m:e>
                      <m:sub>
                        <m:r>
                          <w:rPr>
                            <w:rFonts w:ascii="Cambria Math" w:hAnsi="Cambria Math" w:cs="Times New Roman"/>
                            <w:sz w:val="20"/>
                            <w:szCs w:val="20"/>
                            <w:lang w:val="en-AU"/>
                          </w:rPr>
                          <m:t>CS</m:t>
                        </m:r>
                      </m:sub>
                    </m:sSub>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P</m:t>
                        </m:r>
                      </m:e>
                      <m:sub>
                        <m:r>
                          <w:rPr>
                            <w:rFonts w:ascii="Cambria Math" w:hAnsi="Cambria Math" w:cs="Times New Roman"/>
                            <w:sz w:val="20"/>
                            <w:szCs w:val="20"/>
                            <w:lang w:val="en-AU"/>
                          </w:rPr>
                          <m:t>MIH</m:t>
                        </m:r>
                      </m:sub>
                    </m:sSub>
                    <m:r>
                      <w:rPr>
                        <w:rFonts w:ascii="Cambria Math" w:hAnsi="Cambria Math" w:cs="Times New Roman"/>
                        <w:sz w:val="20"/>
                        <w:szCs w:val="20"/>
                        <w:lang w:val="en-AU"/>
                      </w:rPr>
                      <m:t xml:space="preserve"> .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CSF</m:t>
                        </m:r>
                      </m:e>
                      <m:sub>
                        <m:r>
                          <w:rPr>
                            <w:rFonts w:ascii="Cambria Math" w:hAnsi="Cambria Math" w:cs="Times New Roman"/>
                            <w:sz w:val="20"/>
                            <w:szCs w:val="20"/>
                            <w:lang w:val="en-AU"/>
                          </w:rPr>
                          <m:t>norm</m:t>
                        </m:r>
                      </m:sub>
                    </m:sSub>
                  </m:den>
                </m:f>
              </m:oMath>
            </m:oMathPara>
          </w:p>
        </w:tc>
        <w:tc>
          <w:tcPr>
            <w:tcW w:w="2592" w:type="pct"/>
          </w:tcPr>
          <w:p w14:paraId="1FA4F277"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Expresses suppressed care-seeking proportionally. Positive values indicate fewer presentations than expected under baseline conditions, while negative values indicate presentations above baseline expectation.</w:t>
            </w:r>
          </w:p>
        </w:tc>
      </w:tr>
      <w:tr w:rsidR="00583917" w:rsidRPr="00C21986" w14:paraId="7DC1B465" w14:textId="77777777" w:rsidTr="004C0BA6">
        <w:tc>
          <w:tcPr>
            <w:tcW w:w="310" w:type="pct"/>
          </w:tcPr>
          <w:p w14:paraId="2F3026AA" w14:textId="77777777" w:rsidR="00583917" w:rsidRPr="00C21986" w:rsidRDefault="00583917" w:rsidP="00C21986">
            <w:pPr>
              <w:rPr>
                <w:rFonts w:ascii="Times New Roman" w:hAnsi="Times New Roman" w:cs="Times New Roman"/>
                <w:sz w:val="20"/>
                <w:szCs w:val="20"/>
                <w:lang w:val="en-AU"/>
              </w:rPr>
            </w:pPr>
            <w:r w:rsidRPr="00C21986">
              <w:rPr>
                <w:rFonts w:ascii="Times New Roman" w:eastAsia="MS Mincho" w:hAnsi="Times New Roman" w:cs="Times New Roman"/>
                <w:sz w:val="20"/>
                <w:szCs w:val="20"/>
                <w:lang w:val="en-AU"/>
              </w:rPr>
              <w:t>15</w:t>
            </w:r>
          </w:p>
        </w:tc>
        <w:tc>
          <w:tcPr>
            <w:tcW w:w="685" w:type="pct"/>
          </w:tcPr>
          <w:p w14:paraId="65480160"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Psychology pipeline attrition ratio</w:t>
            </w:r>
          </w:p>
        </w:tc>
        <w:tc>
          <w:tcPr>
            <w:tcW w:w="1413" w:type="pct"/>
            <w:vAlign w:val="center"/>
          </w:tcPr>
          <w:p w14:paraId="1669B3DE" w14:textId="77777777" w:rsidR="00583917" w:rsidRPr="00C21986" w:rsidRDefault="00A87832" w:rsidP="00C21986">
            <w:pPr>
              <w:jc w:val="center"/>
              <w:rPr>
                <w:rFonts w:ascii="Times New Roman" w:hAnsi="Times New Roman" w:cs="Times New Roman"/>
                <w:sz w:val="20"/>
                <w:szCs w:val="20"/>
                <w:lang w:val="en-AU"/>
              </w:rPr>
            </w:pPr>
            <m:oMathPara>
              <m:oMath>
                <m:sSub>
                  <m:sSubPr>
                    <m:ctrlPr>
                      <w:rPr>
                        <w:rFonts w:ascii="Cambria Math" w:hAnsi="Cambria Math" w:cs="Times New Roman"/>
                        <w:i/>
                        <w:sz w:val="20"/>
                        <w:szCs w:val="20"/>
                        <w:lang w:val="en-AU"/>
                      </w:rPr>
                    </m:ctrlPr>
                  </m:sSubPr>
                  <m:e>
                    <m:r>
                      <w:rPr>
                        <w:rFonts w:ascii="Cambria Math" w:hAnsi="Cambria Math" w:cs="Times New Roman"/>
                        <w:sz w:val="20"/>
                        <w:szCs w:val="20"/>
                        <w:lang w:val="en-AU"/>
                      </w:rPr>
                      <m:t>L</m:t>
                    </m:r>
                  </m:e>
                  <m:sub>
                    <m:r>
                      <w:rPr>
                        <w:rFonts w:ascii="Cambria Math" w:hAnsi="Cambria Math" w:cs="Times New Roman"/>
                        <w:sz w:val="20"/>
                        <w:szCs w:val="20"/>
                        <w:lang w:val="en-AU"/>
                      </w:rPr>
                      <m:t>psy</m:t>
                    </m:r>
                  </m:sub>
                </m:sSub>
                <m:r>
                  <w:rPr>
                    <w:rFonts w:ascii="Cambria Math" w:hAnsi="Cambria Math" w:cs="Times New Roman"/>
                    <w:sz w:val="20"/>
                    <w:szCs w:val="20"/>
                    <w:lang w:val="en-AU"/>
                  </w:rPr>
                  <m:t xml:space="preserve">= </m:t>
                </m:r>
                <m:f>
                  <m:fPr>
                    <m:ctrlPr>
                      <w:rPr>
                        <w:rFonts w:ascii="Cambria Math" w:hAnsi="Cambria Math" w:cs="Times New Roman"/>
                        <w:i/>
                        <w:sz w:val="20"/>
                        <w:szCs w:val="20"/>
                        <w:lang w:val="en-AU"/>
                      </w:rPr>
                    </m:ctrlPr>
                  </m:fPr>
                  <m:num>
                    <m:sSub>
                      <m:sSubPr>
                        <m:ctrlPr>
                          <w:rPr>
                            <w:rFonts w:ascii="Cambria Math" w:hAnsi="Cambria Math" w:cs="Times New Roman"/>
                            <w:i/>
                            <w:sz w:val="20"/>
                            <w:szCs w:val="20"/>
                            <w:lang w:val="en-AU"/>
                          </w:rPr>
                        </m:ctrlPr>
                      </m:sSubPr>
                      <m:e>
                        <m:r>
                          <w:rPr>
                            <w:rFonts w:ascii="Cambria Math" w:hAnsi="Cambria Math" w:cs="Times New Roman"/>
                            <w:sz w:val="20"/>
                            <w:szCs w:val="20"/>
                            <w:lang w:val="en-AU"/>
                          </w:rPr>
                          <m:t>R</m:t>
                        </m:r>
                      </m:e>
                      <m:sub>
                        <m:r>
                          <w:rPr>
                            <w:rFonts w:ascii="Cambria Math" w:hAnsi="Cambria Math" w:cs="Times New Roman"/>
                            <w:sz w:val="20"/>
                            <w:szCs w:val="20"/>
                            <w:lang w:val="en-AU"/>
                          </w:rPr>
                          <m:t>total</m:t>
                        </m:r>
                      </m:sub>
                    </m:sSub>
                    <m:r>
                      <w:rPr>
                        <w:rFonts w:ascii="Cambria Math" w:hAnsi="Cambria Math" w:cs="Times New Roman"/>
                        <w:sz w:val="20"/>
                        <w:szCs w:val="20"/>
                        <w:lang w:val="en-AU"/>
                      </w:rPr>
                      <m:t>-</m:t>
                    </m:r>
                    <m:r>
                      <w:rPr>
                        <w:rFonts w:ascii="Cambria Math" w:hAnsi="Cambria Math" w:cs="Times New Roman"/>
                        <w:sz w:val="20"/>
                        <w:szCs w:val="20"/>
                        <w:lang w:val="en-AU"/>
                      </w:rPr>
                      <m:t xml:space="preserve"> </m:t>
                    </m:r>
                    <m:sSub>
                      <m:sSubPr>
                        <m:ctrlPr>
                          <w:rPr>
                            <w:rFonts w:ascii="Cambria Math" w:hAnsi="Cambria Math" w:cs="Times New Roman"/>
                            <w:i/>
                            <w:sz w:val="20"/>
                            <w:szCs w:val="20"/>
                            <w:lang w:val="en-AU"/>
                          </w:rPr>
                        </m:ctrlPr>
                      </m:sSubPr>
                      <m:e>
                        <m:r>
                          <w:rPr>
                            <w:rFonts w:ascii="Cambria Math" w:hAnsi="Cambria Math" w:cs="Times New Roman"/>
                            <w:sz w:val="20"/>
                            <w:szCs w:val="20"/>
                            <w:lang w:val="en-AU"/>
                          </w:rPr>
                          <m:t>U</m:t>
                        </m:r>
                      </m:e>
                      <m:sub>
                        <m:r>
                          <w:rPr>
                            <w:rFonts w:ascii="Cambria Math" w:hAnsi="Cambria Math" w:cs="Times New Roman"/>
                            <w:sz w:val="20"/>
                            <w:szCs w:val="20"/>
                            <w:lang w:val="en-AU"/>
                          </w:rPr>
                          <m:t>post</m:t>
                        </m:r>
                      </m:sub>
                    </m:sSub>
                  </m:num>
                  <m:den>
                    <m:sSub>
                      <m:sSubPr>
                        <m:ctrlPr>
                          <w:rPr>
                            <w:rFonts w:ascii="Cambria Math" w:hAnsi="Cambria Math" w:cs="Times New Roman"/>
                            <w:i/>
                            <w:sz w:val="20"/>
                            <w:szCs w:val="20"/>
                            <w:lang w:val="en-AU"/>
                          </w:rPr>
                        </m:ctrlPr>
                      </m:sSubPr>
                      <m:e>
                        <m:r>
                          <w:rPr>
                            <w:rFonts w:ascii="Cambria Math" w:hAnsi="Cambria Math" w:cs="Times New Roman"/>
                            <w:sz w:val="20"/>
                            <w:szCs w:val="20"/>
                            <w:lang w:val="en-AU"/>
                          </w:rPr>
                          <m:t>GP</m:t>
                        </m:r>
                      </m:e>
                      <m:sub>
                        <m:r>
                          <w:rPr>
                            <w:rFonts w:ascii="Cambria Math" w:hAnsi="Cambria Math" w:cs="Times New Roman"/>
                            <w:sz w:val="20"/>
                            <w:szCs w:val="20"/>
                            <w:lang w:val="en-AU"/>
                          </w:rPr>
                          <m:t>ref</m:t>
                        </m:r>
                      </m:sub>
                    </m:sSub>
                  </m:den>
                </m:f>
              </m:oMath>
            </m:oMathPara>
          </w:p>
        </w:tc>
        <w:tc>
          <w:tcPr>
            <w:tcW w:w="2592" w:type="pct"/>
          </w:tcPr>
          <w:p w14:paraId="70260604" w14:textId="77777777" w:rsidR="00583917" w:rsidRPr="00C21986" w:rsidRDefault="00583917" w:rsidP="00C21986">
            <w:pPr>
              <w:rPr>
                <w:rFonts w:ascii="Times New Roman" w:hAnsi="Times New Roman" w:cs="Times New Roman"/>
                <w:sz w:val="20"/>
                <w:szCs w:val="20"/>
                <w:lang w:val="en-AU"/>
              </w:rPr>
            </w:pPr>
            <w:r w:rsidRPr="00C21986">
              <w:rPr>
                <w:rFonts w:ascii="Times New Roman" w:hAnsi="Times New Roman" w:cs="Times New Roman"/>
                <w:sz w:val="20"/>
                <w:szCs w:val="20"/>
                <w:lang w:val="en-AU"/>
              </w:rPr>
              <w:t>Measures leakage from the psychology treatment pathway by comparing early unresolved exits with new psychology referrals. It focuses on wait-list and in-treatment dropout rather than patients who complete a service block yet remain unresolved.</w:t>
            </w:r>
          </w:p>
        </w:tc>
      </w:tr>
    </w:tbl>
    <w:p w14:paraId="0B328B18" w14:textId="77777777" w:rsidR="00583917" w:rsidRPr="00C21986" w:rsidRDefault="00583917" w:rsidP="00C21986">
      <w:pPr>
        <w:jc w:val="both"/>
        <w:rPr>
          <w:rFonts w:ascii="Times New Roman" w:eastAsia="Times New Roman" w:hAnsi="Times New Roman" w:cs="Times New Roman"/>
          <w:sz w:val="20"/>
          <w:szCs w:val="20"/>
          <w:lang w:val="en-AU"/>
        </w:rPr>
      </w:pPr>
      <w:r w:rsidRPr="00C21986">
        <w:rPr>
          <w:rFonts w:ascii="Times New Roman" w:eastAsia="Times New Roman" w:hAnsi="Times New Roman" w:cs="Times New Roman"/>
          <w:i/>
          <w:sz w:val="20"/>
          <w:szCs w:val="20"/>
          <w:lang w:val="en-AU"/>
        </w:rPr>
        <w:lastRenderedPageBreak/>
        <w:t>Note.</w:t>
      </w:r>
      <w:r w:rsidRPr="00C21986">
        <w:rPr>
          <w:rFonts w:ascii="Times New Roman" w:eastAsia="Times New Roman" w:hAnsi="Times New Roman" w:cs="Times New Roman"/>
          <w:iCs/>
          <w:sz w:val="20"/>
          <w:szCs w:val="20"/>
          <w:lang w:val="en-AU"/>
        </w:rPr>
        <w:t xml:space="preserve"> </w:t>
      </w:r>
      <w:r w:rsidRPr="00C21986">
        <w:rPr>
          <w:rFonts w:ascii="Times New Roman" w:eastAsia="Times New Roman" w:hAnsi="Times New Roman" w:cs="Times New Roman"/>
          <w:i/>
          <w:sz w:val="20"/>
          <w:szCs w:val="20"/>
          <w:lang w:val="en-AU"/>
        </w:rPr>
        <w:t>A</w:t>
      </w:r>
      <w:r w:rsidRPr="00C21986">
        <w:rPr>
          <w:rFonts w:ascii="Times New Roman" w:eastAsia="Times New Roman" w:hAnsi="Times New Roman" w:cs="Times New Roman"/>
          <w:sz w:val="20"/>
          <w:szCs w:val="20"/>
          <w:lang w:val="en-AU"/>
        </w:rPr>
        <w:t xml:space="preserve">, treatment admission; </w:t>
      </w:r>
      <w:r w:rsidRPr="00C21986">
        <w:rPr>
          <w:rFonts w:ascii="Times New Roman" w:eastAsia="Times New Roman" w:hAnsi="Times New Roman" w:cs="Times New Roman"/>
          <w:i/>
          <w:sz w:val="20"/>
          <w:szCs w:val="20"/>
          <w:lang w:val="en-AU"/>
        </w:rPr>
        <w:t>ATIP</w:t>
      </w:r>
      <w:r w:rsidRPr="00C21986">
        <w:rPr>
          <w:rFonts w:ascii="Times New Roman" w:eastAsia="Times New Roman" w:hAnsi="Times New Roman" w:cs="Times New Roman"/>
          <w:i/>
          <w:sz w:val="20"/>
          <w:szCs w:val="20"/>
          <w:vertAlign w:val="subscript"/>
          <w:lang w:val="en-AU"/>
        </w:rPr>
        <w:t>adj</w:t>
      </w:r>
      <w:r w:rsidRPr="00C21986">
        <w:rPr>
          <w:rFonts w:ascii="Times New Roman" w:eastAsia="Times New Roman" w:hAnsi="Times New Roman" w:cs="Times New Roman"/>
          <w:sz w:val="20"/>
          <w:szCs w:val="20"/>
          <w:lang w:val="en-AU"/>
        </w:rPr>
        <w:t xml:space="preserve">, adjusted average time in position; as adjusted average time in position decreases, a larger fraction of the workforce departs each month; </w:t>
      </w:r>
      <w:r w:rsidRPr="00C21986">
        <w:rPr>
          <w:rFonts w:ascii="Times New Roman" w:eastAsia="Times New Roman" w:hAnsi="Times New Roman" w:cs="Times New Roman"/>
          <w:i/>
          <w:sz w:val="20"/>
          <w:szCs w:val="20"/>
          <w:lang w:val="en-AU"/>
        </w:rPr>
        <w:t>C</w:t>
      </w:r>
      <w:r w:rsidRPr="00C21986">
        <w:rPr>
          <w:rFonts w:ascii="Times New Roman" w:eastAsia="Times New Roman" w:hAnsi="Times New Roman" w:cs="Times New Roman"/>
          <w:i/>
          <w:sz w:val="20"/>
          <w:szCs w:val="20"/>
          <w:vertAlign w:val="subscript"/>
          <w:lang w:val="en-AU"/>
        </w:rPr>
        <w:t>adj</w:t>
      </w:r>
      <w:r w:rsidRPr="00C21986">
        <w:rPr>
          <w:rFonts w:ascii="Times New Roman" w:eastAsia="Times New Roman" w:hAnsi="Times New Roman" w:cs="Times New Roman"/>
          <w:sz w:val="20"/>
          <w:szCs w:val="20"/>
          <w:lang w:val="en-AU"/>
        </w:rPr>
        <w:t xml:space="preserve">, adjusted people-equivalent treatment capacity supported by current service output; </w:t>
      </w:r>
      <w:r w:rsidRPr="00C21986">
        <w:rPr>
          <w:rFonts w:ascii="Times New Roman" w:eastAsia="Times New Roman" w:hAnsi="Times New Roman" w:cs="Times New Roman"/>
          <w:i/>
          <w:sz w:val="20"/>
          <w:szCs w:val="20"/>
          <w:lang w:val="en-AU"/>
        </w:rPr>
        <w:t>C</w:t>
      </w:r>
      <w:r w:rsidRPr="00C21986">
        <w:rPr>
          <w:rFonts w:ascii="Times New Roman" w:eastAsia="Times New Roman" w:hAnsi="Times New Roman" w:cs="Times New Roman"/>
          <w:i/>
          <w:sz w:val="20"/>
          <w:szCs w:val="20"/>
          <w:vertAlign w:val="subscript"/>
          <w:lang w:val="en-AU"/>
        </w:rPr>
        <w:t>norm</w:t>
      </w:r>
      <w:r w:rsidRPr="00C21986">
        <w:rPr>
          <w:rFonts w:ascii="Times New Roman" w:eastAsia="Times New Roman" w:hAnsi="Times New Roman" w:cs="Times New Roman"/>
          <w:sz w:val="20"/>
          <w:szCs w:val="20"/>
          <w:lang w:val="en-AU"/>
        </w:rPr>
        <w:t xml:space="preserve">, baseline people-equivalent treatment capacity; </w:t>
      </w:r>
      <w:r w:rsidRPr="00C21986">
        <w:rPr>
          <w:rFonts w:ascii="Times New Roman" w:eastAsia="Times New Roman" w:hAnsi="Times New Roman" w:cs="Times New Roman"/>
          <w:i/>
          <w:sz w:val="20"/>
          <w:szCs w:val="20"/>
          <w:lang w:val="en-AU"/>
        </w:rPr>
        <w:t>CP</w:t>
      </w:r>
      <w:r w:rsidRPr="00C21986">
        <w:rPr>
          <w:rFonts w:ascii="Times New Roman" w:eastAsia="Times New Roman" w:hAnsi="Times New Roman" w:cs="Times New Roman"/>
          <w:sz w:val="20"/>
          <w:szCs w:val="20"/>
          <w:lang w:val="en-AU"/>
        </w:rPr>
        <w:t xml:space="preserve">, care-seeking prevalence; </w:t>
      </w:r>
      <w:r w:rsidRPr="00C21986">
        <w:rPr>
          <w:rFonts w:ascii="Times New Roman" w:eastAsia="Times New Roman" w:hAnsi="Times New Roman" w:cs="Times New Roman"/>
          <w:i/>
          <w:sz w:val="20"/>
          <w:szCs w:val="20"/>
          <w:lang w:val="en-AU"/>
        </w:rPr>
        <w:t>CS</w:t>
      </w:r>
      <w:r w:rsidRPr="00C21986">
        <w:rPr>
          <w:rFonts w:ascii="Times New Roman" w:eastAsia="Times New Roman" w:hAnsi="Times New Roman" w:cs="Times New Roman"/>
          <w:i/>
          <w:sz w:val="20"/>
          <w:szCs w:val="20"/>
          <w:vertAlign w:val="subscript"/>
          <w:lang w:val="en-AU"/>
        </w:rPr>
        <w:t>adj</w:t>
      </w:r>
      <w:r w:rsidRPr="00C21986">
        <w:rPr>
          <w:rFonts w:ascii="Times New Roman" w:eastAsia="Times New Roman" w:hAnsi="Times New Roman" w:cs="Times New Roman"/>
          <w:sz w:val="20"/>
          <w:szCs w:val="20"/>
          <w:lang w:val="en-AU"/>
        </w:rPr>
        <w:t xml:space="preserve">, realised adjusted care-seeking presentation flow to primary care; </w:t>
      </w:r>
      <w:r w:rsidRPr="00C21986">
        <w:rPr>
          <w:rFonts w:ascii="Times New Roman" w:eastAsia="Times New Roman" w:hAnsi="Times New Roman" w:cs="Times New Roman"/>
          <w:i/>
          <w:sz w:val="20"/>
          <w:szCs w:val="20"/>
          <w:lang w:val="en-AU"/>
        </w:rPr>
        <w:t>CSF</w:t>
      </w:r>
      <w:r w:rsidRPr="00C21986">
        <w:rPr>
          <w:rFonts w:ascii="Times New Roman" w:eastAsia="Times New Roman" w:hAnsi="Times New Roman" w:cs="Times New Roman"/>
          <w:i/>
          <w:sz w:val="20"/>
          <w:szCs w:val="20"/>
          <w:vertAlign w:val="subscript"/>
          <w:lang w:val="en-AU"/>
        </w:rPr>
        <w:t>norm</w:t>
      </w:r>
      <w:r w:rsidRPr="00C21986">
        <w:rPr>
          <w:rFonts w:ascii="Times New Roman" w:eastAsia="Times New Roman" w:hAnsi="Times New Roman" w:cs="Times New Roman"/>
          <w:sz w:val="20"/>
          <w:szCs w:val="20"/>
          <w:lang w:val="en-AU"/>
        </w:rPr>
        <w:t xml:space="preserve">, normal care-seeking fractional rate; </w:t>
      </w:r>
      <w:r w:rsidRPr="00C21986">
        <w:rPr>
          <w:rFonts w:ascii="Times New Roman" w:eastAsia="Times New Roman" w:hAnsi="Times New Roman" w:cs="Times New Roman"/>
          <w:i/>
          <w:sz w:val="20"/>
          <w:szCs w:val="20"/>
          <w:lang w:val="en-AU"/>
        </w:rPr>
        <w:t>F</w:t>
      </w:r>
      <w:r w:rsidRPr="00C21986">
        <w:rPr>
          <w:rFonts w:ascii="Times New Roman" w:eastAsia="Times New Roman" w:hAnsi="Times New Roman" w:cs="Times New Roman"/>
          <w:i/>
          <w:sz w:val="20"/>
          <w:szCs w:val="20"/>
          <w:vertAlign w:val="subscript"/>
          <w:lang w:val="en-AU"/>
        </w:rPr>
        <w:t>CS</w:t>
      </w:r>
      <w:r w:rsidRPr="00C21986">
        <w:rPr>
          <w:rFonts w:ascii="Times New Roman" w:eastAsia="Times New Roman" w:hAnsi="Times New Roman" w:cs="Times New Roman"/>
          <w:sz w:val="20"/>
          <w:szCs w:val="20"/>
          <w:lang w:val="en-AU"/>
        </w:rPr>
        <w:t xml:space="preserve">, proportion of expected care-seeking suppressed before entry into primary care; </w:t>
      </w:r>
      <w:r w:rsidRPr="00C21986">
        <w:rPr>
          <w:rFonts w:ascii="Times New Roman" w:eastAsia="Times New Roman" w:hAnsi="Times New Roman" w:cs="Times New Roman"/>
          <w:i/>
          <w:sz w:val="20"/>
          <w:szCs w:val="20"/>
          <w:lang w:val="en-AU"/>
        </w:rPr>
        <w:t>G</w:t>
      </w:r>
      <w:r w:rsidRPr="00C21986">
        <w:rPr>
          <w:rFonts w:ascii="Times New Roman" w:eastAsia="Times New Roman" w:hAnsi="Times New Roman" w:cs="Times New Roman"/>
          <w:i/>
          <w:sz w:val="20"/>
          <w:szCs w:val="20"/>
          <w:vertAlign w:val="subscript"/>
          <w:lang w:val="en-AU"/>
        </w:rPr>
        <w:t>CS</w:t>
      </w:r>
      <w:r w:rsidRPr="00C21986">
        <w:rPr>
          <w:rFonts w:ascii="Times New Roman" w:eastAsia="Times New Roman" w:hAnsi="Times New Roman" w:cs="Times New Roman"/>
          <w:sz w:val="20"/>
          <w:szCs w:val="20"/>
          <w:lang w:val="en-AU"/>
        </w:rPr>
        <w:t xml:space="preserve">, suppressed care-seeking gap; </w:t>
      </w:r>
      <w:r w:rsidRPr="00C21986">
        <w:rPr>
          <w:rFonts w:ascii="Times New Roman" w:eastAsia="Times New Roman" w:hAnsi="Times New Roman" w:cs="Times New Roman"/>
          <w:i/>
          <w:sz w:val="20"/>
          <w:szCs w:val="20"/>
          <w:lang w:val="en-AU"/>
        </w:rPr>
        <w:t>GP</w:t>
      </w:r>
      <w:r w:rsidRPr="00C21986">
        <w:rPr>
          <w:rFonts w:ascii="Times New Roman" w:eastAsia="Times New Roman" w:hAnsi="Times New Roman" w:cs="Times New Roman"/>
          <w:i/>
          <w:sz w:val="20"/>
          <w:szCs w:val="20"/>
          <w:vertAlign w:val="subscript"/>
          <w:lang w:val="en-AU"/>
        </w:rPr>
        <w:t>ref</w:t>
      </w:r>
      <w:r w:rsidRPr="00C21986">
        <w:rPr>
          <w:rFonts w:ascii="Times New Roman" w:eastAsia="Times New Roman" w:hAnsi="Times New Roman" w:cs="Times New Roman"/>
          <w:sz w:val="20"/>
          <w:szCs w:val="20"/>
          <w:lang w:val="en-AU"/>
        </w:rPr>
        <w:t xml:space="preserve">, new psychology referrals from primary care; </w:t>
      </w:r>
      <w:r w:rsidRPr="00C21986">
        <w:rPr>
          <w:rFonts w:ascii="Times New Roman" w:eastAsia="Times New Roman" w:hAnsi="Times New Roman" w:cs="Times New Roman"/>
          <w:i/>
          <w:sz w:val="20"/>
          <w:szCs w:val="20"/>
          <w:lang w:val="en-AU"/>
        </w:rPr>
        <w:t>G</w:t>
      </w:r>
      <w:r w:rsidRPr="00C21986">
        <w:rPr>
          <w:rFonts w:ascii="Times New Roman" w:eastAsia="Times New Roman" w:hAnsi="Times New Roman" w:cs="Times New Roman"/>
          <w:i/>
          <w:sz w:val="20"/>
          <w:szCs w:val="20"/>
          <w:vertAlign w:val="subscript"/>
          <w:lang w:val="en-AU"/>
        </w:rPr>
        <w:t>W</w:t>
      </w:r>
      <w:r w:rsidRPr="00C21986">
        <w:rPr>
          <w:rFonts w:ascii="Times New Roman" w:eastAsia="Times New Roman" w:hAnsi="Times New Roman" w:cs="Times New Roman"/>
          <w:sz w:val="20"/>
          <w:szCs w:val="20"/>
          <w:lang w:val="en-AU"/>
        </w:rPr>
        <w:t xml:space="preserve">, workforce gap; </w:t>
      </w:r>
      <w:r w:rsidRPr="00C21986">
        <w:rPr>
          <w:rFonts w:ascii="Times New Roman" w:eastAsia="Times New Roman" w:hAnsi="Times New Roman" w:cs="Times New Roman"/>
          <w:i/>
          <w:sz w:val="20"/>
          <w:szCs w:val="20"/>
          <w:lang w:val="en-AU"/>
        </w:rPr>
        <w:t>G</w:t>
      </w:r>
      <w:r w:rsidRPr="00C21986">
        <w:rPr>
          <w:rFonts w:ascii="Times New Roman" w:eastAsia="Times New Roman" w:hAnsi="Times New Roman" w:cs="Times New Roman"/>
          <w:i/>
          <w:sz w:val="20"/>
          <w:szCs w:val="20"/>
          <w:vertAlign w:val="subscript"/>
          <w:lang w:val="en-AU"/>
        </w:rPr>
        <w:t>W</w:t>
      </w:r>
      <w:r w:rsidRPr="00C21986">
        <w:rPr>
          <w:rFonts w:ascii="Times New Roman" w:eastAsia="Times New Roman" w:hAnsi="Times New Roman" w:cs="Times New Roman"/>
          <w:i/>
          <w:sz w:val="20"/>
          <w:szCs w:val="20"/>
          <w:vertAlign w:val="superscript"/>
          <w:lang w:val="en-AU"/>
        </w:rPr>
        <w:t>perc</w:t>
      </w:r>
      <w:r w:rsidRPr="00C21986">
        <w:rPr>
          <w:rFonts w:ascii="Times New Roman" w:eastAsia="Times New Roman" w:hAnsi="Times New Roman" w:cs="Times New Roman"/>
          <w:sz w:val="20"/>
          <w:szCs w:val="20"/>
          <w:lang w:val="en-AU"/>
        </w:rPr>
        <w:t xml:space="preserve">, perceived workforce gap; </w:t>
      </w:r>
      <w:r w:rsidRPr="00C21986">
        <w:rPr>
          <w:rFonts w:ascii="Times New Roman" w:eastAsia="Times New Roman" w:hAnsi="Times New Roman" w:cs="Times New Roman"/>
          <w:i/>
          <w:sz w:val="20"/>
          <w:szCs w:val="20"/>
          <w:lang w:val="en-AU"/>
        </w:rPr>
        <w:t>L</w:t>
      </w:r>
      <w:r w:rsidRPr="00C21986">
        <w:rPr>
          <w:rFonts w:ascii="Times New Roman" w:eastAsia="Times New Roman" w:hAnsi="Times New Roman" w:cs="Times New Roman"/>
          <w:i/>
          <w:sz w:val="20"/>
          <w:szCs w:val="20"/>
          <w:vertAlign w:val="subscript"/>
          <w:lang w:val="en-AU"/>
        </w:rPr>
        <w:t>psy</w:t>
      </w:r>
      <w:r w:rsidRPr="00C21986">
        <w:rPr>
          <w:rFonts w:ascii="Times New Roman" w:eastAsia="Times New Roman" w:hAnsi="Times New Roman" w:cs="Times New Roman"/>
          <w:sz w:val="20"/>
          <w:szCs w:val="20"/>
          <w:lang w:val="en-AU"/>
        </w:rPr>
        <w:t xml:space="preserve">, psychology pipeline attrition;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CSM</w:t>
      </w:r>
      <w:r w:rsidRPr="00C21986">
        <w:rPr>
          <w:rFonts w:ascii="Times New Roman" w:eastAsia="Times New Roman" w:hAnsi="Times New Roman" w:cs="Times New Roman"/>
          <w:sz w:val="20"/>
          <w:szCs w:val="20"/>
          <w:lang w:val="en-AU"/>
        </w:rPr>
        <w:t xml:space="preserve">, care-seeking motivation multiplier derived from societal perceptions of system efficiency;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E</w:t>
      </w:r>
      <w:r w:rsidRPr="00C21986">
        <w:rPr>
          <w:rFonts w:ascii="Times New Roman" w:eastAsia="Times New Roman" w:hAnsi="Times New Roman" w:cs="Times New Roman"/>
          <w:sz w:val="20"/>
          <w:szCs w:val="20"/>
          <w:lang w:val="en-AU"/>
        </w:rPr>
        <w:t xml:space="preserve">, multiplier effect of relative workforce energy on passion;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EXP</w:t>
      </w:r>
      <w:r w:rsidRPr="00C21986">
        <w:rPr>
          <w:rFonts w:ascii="Times New Roman" w:eastAsia="Times New Roman" w:hAnsi="Times New Roman" w:cs="Times New Roman"/>
          <w:sz w:val="20"/>
          <w:szCs w:val="20"/>
          <w:lang w:val="en-AU"/>
        </w:rPr>
        <w:t xml:space="preserve">, multiplier effect of professional experience on service quality;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M</w:t>
      </w:r>
      <w:r w:rsidRPr="00C21986">
        <w:rPr>
          <w:rFonts w:ascii="Times New Roman" w:eastAsia="Times New Roman" w:hAnsi="Times New Roman" w:cs="Times New Roman"/>
          <w:sz w:val="20"/>
          <w:szCs w:val="20"/>
          <w:lang w:val="en-AU"/>
        </w:rPr>
        <w:t xml:space="preserve">, morale-to-passion multiplier derived from perceived system performance;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PP</w:t>
      </w:r>
      <w:r w:rsidRPr="00C21986">
        <w:rPr>
          <w:rFonts w:ascii="Times New Roman" w:eastAsia="Times New Roman" w:hAnsi="Times New Roman" w:cs="Times New Roman"/>
          <w:sz w:val="20"/>
          <w:szCs w:val="20"/>
          <w:lang w:val="en-AU"/>
        </w:rPr>
        <w:t xml:space="preserve">, multiplier effect of relative professional passion on service quality; </w:t>
      </w:r>
      <w:r w:rsidRPr="00C21986">
        <w:rPr>
          <w:rFonts w:ascii="Times New Roman" w:eastAsia="Times New Roman" w:hAnsi="Times New Roman" w:cs="Times New Roman"/>
          <w:i/>
          <w:sz w:val="20"/>
          <w:szCs w:val="20"/>
          <w:lang w:val="en-AU"/>
        </w:rPr>
        <w:t>m</w:t>
      </w:r>
      <w:r w:rsidRPr="00C21986">
        <w:rPr>
          <w:rFonts w:ascii="Times New Roman" w:eastAsia="Times New Roman" w:hAnsi="Times New Roman" w:cs="Times New Roman"/>
          <w:i/>
          <w:sz w:val="20"/>
          <w:szCs w:val="20"/>
          <w:vertAlign w:val="subscript"/>
          <w:lang w:val="en-AU"/>
        </w:rPr>
        <w:t>PRWT</w:t>
      </w:r>
      <w:r w:rsidRPr="00C21986">
        <w:rPr>
          <w:rFonts w:ascii="Times New Roman" w:eastAsia="Times New Roman" w:hAnsi="Times New Roman" w:cs="Times New Roman"/>
          <w:sz w:val="20"/>
          <w:szCs w:val="20"/>
          <w:lang w:val="en-AU"/>
        </w:rPr>
        <w:t xml:space="preserve">, productivity multiplier responding to perceived relative wait time; </w:t>
      </w:r>
      <w:r w:rsidRPr="00C21986">
        <w:rPr>
          <w:rFonts w:ascii="Times New Roman" w:eastAsia="Times New Roman" w:hAnsi="Times New Roman" w:cs="Times New Roman"/>
          <w:i/>
          <w:sz w:val="20"/>
          <w:szCs w:val="20"/>
          <w:lang w:val="en-AU"/>
        </w:rPr>
        <w:t>MH</w:t>
      </w:r>
      <w:r w:rsidRPr="00C21986">
        <w:rPr>
          <w:rFonts w:ascii="Times New Roman" w:eastAsia="Times New Roman" w:hAnsi="Times New Roman" w:cs="Times New Roman"/>
          <w:i/>
          <w:sz w:val="20"/>
          <w:szCs w:val="20"/>
          <w:vertAlign w:val="subscript"/>
          <w:lang w:val="en-AU"/>
        </w:rPr>
        <w:t>care</w:t>
      </w:r>
      <w:r w:rsidRPr="00C21986">
        <w:rPr>
          <w:rFonts w:ascii="Times New Roman" w:eastAsia="Times New Roman" w:hAnsi="Times New Roman" w:cs="Times New Roman"/>
          <w:sz w:val="20"/>
          <w:szCs w:val="20"/>
          <w:lang w:val="en-AU"/>
        </w:rPr>
        <w:t xml:space="preserve">, number of people in a formal care state, including primary care, other mental healthcare, awaiting care, or in treatment; </w:t>
      </w:r>
      <w:r w:rsidRPr="00C21986">
        <w:rPr>
          <w:rFonts w:ascii="Times New Roman" w:eastAsia="Times New Roman" w:hAnsi="Times New Roman" w:cs="Times New Roman"/>
          <w:i/>
          <w:sz w:val="20"/>
          <w:szCs w:val="20"/>
          <w:lang w:val="en-AU"/>
        </w:rPr>
        <w:t>MH</w:t>
      </w:r>
      <w:r w:rsidRPr="00C21986">
        <w:rPr>
          <w:rFonts w:ascii="Times New Roman" w:eastAsia="Times New Roman" w:hAnsi="Times New Roman" w:cs="Times New Roman"/>
          <w:i/>
          <w:sz w:val="20"/>
          <w:szCs w:val="20"/>
          <w:vertAlign w:val="subscript"/>
          <w:lang w:val="en-AU"/>
        </w:rPr>
        <w:t>total</w:t>
      </w:r>
      <w:r w:rsidRPr="00C21986">
        <w:rPr>
          <w:rFonts w:ascii="Times New Roman" w:eastAsia="Times New Roman" w:hAnsi="Times New Roman" w:cs="Times New Roman"/>
          <w:sz w:val="20"/>
          <w:szCs w:val="20"/>
          <w:lang w:val="en-AU"/>
        </w:rPr>
        <w:t xml:space="preserve">, total number of people experiencing mental ill-health across states; </w:t>
      </w:r>
      <w:r w:rsidRPr="00C21986">
        <w:rPr>
          <w:rFonts w:ascii="Times New Roman" w:eastAsia="Times New Roman" w:hAnsi="Times New Roman" w:cs="Times New Roman"/>
          <w:i/>
          <w:sz w:val="20"/>
          <w:szCs w:val="20"/>
          <w:lang w:val="en-AU"/>
        </w:rPr>
        <w:t>P</w:t>
      </w:r>
      <w:r w:rsidRPr="00C21986">
        <w:rPr>
          <w:rFonts w:ascii="Times New Roman" w:eastAsia="Times New Roman" w:hAnsi="Times New Roman" w:cs="Times New Roman"/>
          <w:i/>
          <w:sz w:val="20"/>
          <w:szCs w:val="20"/>
          <w:vertAlign w:val="subscript"/>
          <w:lang w:val="en-AU"/>
        </w:rPr>
        <w:t>AW</w:t>
      </w:r>
      <w:r w:rsidRPr="00C21986">
        <w:rPr>
          <w:rFonts w:ascii="Times New Roman" w:eastAsia="Times New Roman" w:hAnsi="Times New Roman" w:cs="Times New Roman"/>
          <w:sz w:val="20"/>
          <w:szCs w:val="20"/>
          <w:lang w:val="en-AU"/>
        </w:rPr>
        <w:t xml:space="preserve">, patients awaiting treatment; </w:t>
      </w:r>
      <w:r w:rsidRPr="00C21986">
        <w:rPr>
          <w:rFonts w:ascii="Times New Roman" w:eastAsia="Times New Roman" w:hAnsi="Times New Roman" w:cs="Times New Roman"/>
          <w:i/>
          <w:sz w:val="20"/>
          <w:szCs w:val="20"/>
          <w:lang w:val="en-AU"/>
        </w:rPr>
        <w:t>P</w:t>
      </w:r>
      <w:r w:rsidRPr="00C21986">
        <w:rPr>
          <w:rFonts w:ascii="Times New Roman" w:eastAsia="Times New Roman" w:hAnsi="Times New Roman" w:cs="Times New Roman"/>
          <w:i/>
          <w:sz w:val="20"/>
          <w:szCs w:val="20"/>
          <w:vertAlign w:val="subscript"/>
          <w:lang w:val="en-AU"/>
        </w:rPr>
        <w:t>IT</w:t>
      </w:r>
      <w:r w:rsidRPr="00C21986">
        <w:rPr>
          <w:rFonts w:ascii="Times New Roman" w:eastAsia="Times New Roman" w:hAnsi="Times New Roman" w:cs="Times New Roman"/>
          <w:sz w:val="20"/>
          <w:szCs w:val="20"/>
          <w:lang w:val="en-AU"/>
        </w:rPr>
        <w:t xml:space="preserve">, patients currently receiving treatment; together, patients awaiting treatment and patients currently receiving treatment define total treatment demand; </w:t>
      </w:r>
      <w:r w:rsidRPr="00C21986">
        <w:rPr>
          <w:rFonts w:ascii="Times New Roman" w:eastAsia="Times New Roman" w:hAnsi="Times New Roman" w:cs="Times New Roman"/>
          <w:i/>
          <w:sz w:val="20"/>
          <w:szCs w:val="20"/>
          <w:lang w:val="en-AU"/>
        </w:rPr>
        <w:t>P</w:t>
      </w:r>
      <w:r w:rsidRPr="00C21986">
        <w:rPr>
          <w:rFonts w:ascii="Times New Roman" w:eastAsia="Times New Roman" w:hAnsi="Times New Roman" w:cs="Times New Roman"/>
          <w:i/>
          <w:sz w:val="20"/>
          <w:szCs w:val="20"/>
          <w:vertAlign w:val="subscript"/>
          <w:lang w:val="en-AU"/>
        </w:rPr>
        <w:t>MIH</w:t>
      </w:r>
      <w:r w:rsidRPr="00C21986">
        <w:rPr>
          <w:rFonts w:ascii="Times New Roman" w:eastAsia="Times New Roman" w:hAnsi="Times New Roman" w:cs="Times New Roman"/>
          <w:sz w:val="20"/>
          <w:szCs w:val="20"/>
          <w:lang w:val="en-AU"/>
        </w:rPr>
        <w:t xml:space="preserve">, population living with mental ill-health; </w:t>
      </w:r>
      <w:r w:rsidRPr="00C21986">
        <w:rPr>
          <w:rFonts w:ascii="Times New Roman" w:eastAsia="Times New Roman" w:hAnsi="Times New Roman" w:cs="Times New Roman"/>
          <w:i/>
          <w:sz w:val="20"/>
          <w:szCs w:val="20"/>
          <w:lang w:val="en-AU"/>
        </w:rPr>
        <w:t>p</w:t>
      </w:r>
      <w:r w:rsidRPr="00C21986">
        <w:rPr>
          <w:rFonts w:ascii="Times New Roman" w:eastAsia="Times New Roman" w:hAnsi="Times New Roman" w:cs="Times New Roman"/>
          <w:sz w:val="20"/>
          <w:szCs w:val="20"/>
          <w:lang w:val="en-AU"/>
        </w:rPr>
        <w:t xml:space="preserve">, average services required per patient per month; </w:t>
      </w:r>
      <w:r w:rsidRPr="00C21986">
        <w:rPr>
          <w:rFonts w:ascii="Times New Roman" w:eastAsia="Times New Roman" w:hAnsi="Times New Roman" w:cs="Times New Roman"/>
          <w:i/>
          <w:sz w:val="20"/>
          <w:szCs w:val="20"/>
          <w:lang w:val="en-AU"/>
        </w:rPr>
        <w:t>PP</w:t>
      </w:r>
      <w:r w:rsidRPr="00C21986">
        <w:rPr>
          <w:rFonts w:ascii="Times New Roman" w:eastAsia="Times New Roman" w:hAnsi="Times New Roman" w:cs="Times New Roman"/>
          <w:i/>
          <w:sz w:val="20"/>
          <w:szCs w:val="20"/>
          <w:vertAlign w:val="superscript"/>
          <w:lang w:val="en-AU"/>
        </w:rPr>
        <w:t>*</w:t>
      </w:r>
      <w:r w:rsidRPr="00C21986">
        <w:rPr>
          <w:rFonts w:ascii="Times New Roman" w:eastAsia="Times New Roman" w:hAnsi="Times New Roman" w:cs="Times New Roman"/>
          <w:sz w:val="20"/>
          <w:szCs w:val="20"/>
          <w:lang w:val="en-AU"/>
        </w:rPr>
        <w:t xml:space="preserve">, indicated professional passion; </w:t>
      </w:r>
      <w:r w:rsidRPr="00C21986">
        <w:rPr>
          <w:rFonts w:ascii="Times New Roman" w:eastAsia="Times New Roman" w:hAnsi="Times New Roman" w:cs="Times New Roman"/>
          <w:i/>
          <w:sz w:val="20"/>
          <w:szCs w:val="20"/>
          <w:lang w:val="en-AU"/>
        </w:rPr>
        <w:t>PP</w:t>
      </w:r>
      <w:r w:rsidRPr="00C21986">
        <w:rPr>
          <w:rFonts w:ascii="Times New Roman" w:eastAsia="Times New Roman" w:hAnsi="Times New Roman" w:cs="Times New Roman"/>
          <w:i/>
          <w:sz w:val="20"/>
          <w:szCs w:val="20"/>
          <w:vertAlign w:val="subscript"/>
          <w:lang w:val="en-AU"/>
        </w:rPr>
        <w:t>norm</w:t>
      </w:r>
      <w:r w:rsidRPr="00C21986">
        <w:rPr>
          <w:rFonts w:ascii="Times New Roman" w:eastAsia="Times New Roman" w:hAnsi="Times New Roman" w:cs="Times New Roman"/>
          <w:sz w:val="20"/>
          <w:szCs w:val="20"/>
          <w:lang w:val="en-AU"/>
        </w:rPr>
        <w:t xml:space="preserve">, normal professional passion; </w:t>
      </w:r>
      <w:r w:rsidRPr="00C21986">
        <w:rPr>
          <w:rFonts w:ascii="Times New Roman" w:eastAsia="Times New Roman" w:hAnsi="Times New Roman" w:cs="Times New Roman"/>
          <w:i/>
          <w:sz w:val="20"/>
          <w:szCs w:val="20"/>
          <w:lang w:val="en-AU"/>
        </w:rPr>
        <w:t>R</w:t>
      </w:r>
      <w:r w:rsidRPr="00C21986">
        <w:rPr>
          <w:rFonts w:ascii="Times New Roman" w:eastAsia="Times New Roman" w:hAnsi="Times New Roman" w:cs="Times New Roman"/>
          <w:sz w:val="20"/>
          <w:szCs w:val="20"/>
          <w:lang w:val="en-AU"/>
        </w:rPr>
        <w:t xml:space="preserve">, workforce recruitment; </w:t>
      </w:r>
      <w:r w:rsidRPr="00C21986">
        <w:rPr>
          <w:rFonts w:ascii="Times New Roman" w:eastAsia="Times New Roman" w:hAnsi="Times New Roman" w:cs="Times New Roman"/>
          <w:i/>
          <w:sz w:val="20"/>
          <w:szCs w:val="20"/>
          <w:lang w:val="en-AU"/>
        </w:rPr>
        <w:t>R</w:t>
      </w:r>
      <w:r w:rsidRPr="00C21986">
        <w:rPr>
          <w:rFonts w:ascii="Times New Roman" w:eastAsia="Times New Roman" w:hAnsi="Times New Roman" w:cs="Times New Roman"/>
          <w:i/>
          <w:sz w:val="20"/>
          <w:szCs w:val="20"/>
          <w:vertAlign w:val="subscript"/>
          <w:lang w:val="en-AU"/>
        </w:rPr>
        <w:t>total</w:t>
      </w:r>
      <w:r w:rsidRPr="00C21986">
        <w:rPr>
          <w:rFonts w:ascii="Times New Roman" w:eastAsia="Times New Roman" w:hAnsi="Times New Roman" w:cs="Times New Roman"/>
          <w:sz w:val="20"/>
          <w:szCs w:val="20"/>
          <w:lang w:val="en-AU"/>
        </w:rPr>
        <w:t xml:space="preserve">, total returning patients; </w:t>
      </w:r>
      <w:r w:rsidRPr="00C21986">
        <w:rPr>
          <w:rFonts w:ascii="Times New Roman" w:eastAsia="Times New Roman" w:hAnsi="Times New Roman" w:cs="Times New Roman"/>
          <w:i/>
          <w:sz w:val="20"/>
          <w:szCs w:val="20"/>
          <w:lang w:val="en-AU"/>
        </w:rPr>
        <w:t>s</w:t>
      </w:r>
      <w:r w:rsidRPr="00C21986">
        <w:rPr>
          <w:rFonts w:ascii="Times New Roman" w:eastAsia="Times New Roman" w:hAnsi="Times New Roman" w:cs="Times New Roman"/>
          <w:sz w:val="20"/>
          <w:szCs w:val="20"/>
          <w:lang w:val="en-AU"/>
        </w:rPr>
        <w:t xml:space="preserve">, baseline number of services delivered per worker per month; </w:t>
      </w:r>
      <w:r w:rsidRPr="00C21986">
        <w:rPr>
          <w:rFonts w:ascii="Times New Roman" w:eastAsia="Times New Roman" w:hAnsi="Times New Roman" w:cs="Times New Roman"/>
          <w:i/>
          <w:sz w:val="20"/>
          <w:szCs w:val="20"/>
          <w:lang w:val="en-AU"/>
        </w:rPr>
        <w:t>SDI</w:t>
      </w:r>
      <w:r w:rsidRPr="00C21986">
        <w:rPr>
          <w:rFonts w:ascii="Times New Roman" w:eastAsia="Times New Roman" w:hAnsi="Times New Roman" w:cs="Times New Roman"/>
          <w:sz w:val="20"/>
          <w:szCs w:val="20"/>
          <w:lang w:val="en-AU"/>
        </w:rPr>
        <w:t xml:space="preserve">, ratio of baseline people-equivalent capacity to total current treatment demand; </w:t>
      </w:r>
      <w:r w:rsidRPr="00C21986">
        <w:rPr>
          <w:rFonts w:ascii="Times New Roman" w:eastAsia="Times New Roman" w:hAnsi="Times New Roman" w:cs="Times New Roman"/>
          <w:i/>
          <w:sz w:val="20"/>
          <w:szCs w:val="20"/>
          <w:lang w:val="en-AU"/>
        </w:rPr>
        <w:t>SQ</w:t>
      </w:r>
      <w:r w:rsidRPr="00C21986">
        <w:rPr>
          <w:rFonts w:ascii="Times New Roman" w:eastAsia="Times New Roman" w:hAnsi="Times New Roman" w:cs="Times New Roman"/>
          <w:i/>
          <w:sz w:val="20"/>
          <w:szCs w:val="20"/>
          <w:vertAlign w:val="superscript"/>
          <w:lang w:val="en-AU"/>
        </w:rPr>
        <w:t>*</w:t>
      </w:r>
      <w:r w:rsidRPr="00C21986">
        <w:rPr>
          <w:rFonts w:ascii="Times New Roman" w:eastAsia="Times New Roman" w:hAnsi="Times New Roman" w:cs="Times New Roman"/>
          <w:sz w:val="20"/>
          <w:szCs w:val="20"/>
          <w:lang w:val="en-AU"/>
        </w:rPr>
        <w:t xml:space="preserve">, indicated service quality; </w:t>
      </w:r>
      <w:r w:rsidRPr="00C21986">
        <w:rPr>
          <w:rFonts w:ascii="Times New Roman" w:eastAsia="Times New Roman" w:hAnsi="Times New Roman" w:cs="Times New Roman"/>
          <w:i/>
          <w:sz w:val="20"/>
          <w:szCs w:val="20"/>
          <w:lang w:val="en-AU"/>
        </w:rPr>
        <w:t>SQ</w:t>
      </w:r>
      <w:r w:rsidRPr="00C21986">
        <w:rPr>
          <w:rFonts w:ascii="Times New Roman" w:eastAsia="Times New Roman" w:hAnsi="Times New Roman" w:cs="Times New Roman"/>
          <w:i/>
          <w:sz w:val="20"/>
          <w:szCs w:val="20"/>
          <w:vertAlign w:val="subscript"/>
          <w:lang w:val="en-AU"/>
        </w:rPr>
        <w:t>norm</w:t>
      </w:r>
      <w:r w:rsidRPr="00C21986">
        <w:rPr>
          <w:rFonts w:ascii="Times New Roman" w:eastAsia="Times New Roman" w:hAnsi="Times New Roman" w:cs="Times New Roman"/>
          <w:sz w:val="20"/>
          <w:szCs w:val="20"/>
          <w:lang w:val="en-AU"/>
        </w:rPr>
        <w:t xml:space="preserve">, normal service quality; </w:t>
      </w:r>
      <w:r w:rsidRPr="00C21986">
        <w:rPr>
          <w:rFonts w:ascii="Times New Roman" w:eastAsia="Times New Roman" w:hAnsi="Times New Roman" w:cs="Times New Roman"/>
          <w:i/>
          <w:sz w:val="20"/>
          <w:szCs w:val="20"/>
          <w:lang w:val="en-AU"/>
        </w:rPr>
        <w:t>T</w:t>
      </w:r>
      <w:r w:rsidRPr="00C21986">
        <w:rPr>
          <w:rFonts w:ascii="Times New Roman" w:eastAsia="Times New Roman" w:hAnsi="Times New Roman" w:cs="Times New Roman"/>
          <w:sz w:val="20"/>
          <w:szCs w:val="20"/>
          <w:lang w:val="en-AU"/>
        </w:rPr>
        <w:t xml:space="preserve">, workforce turnover; </w:t>
      </w:r>
      <w:r w:rsidRPr="00C21986">
        <w:rPr>
          <w:rFonts w:ascii="Times New Roman" w:eastAsia="Times New Roman" w:hAnsi="Times New Roman" w:cs="Times New Roman"/>
          <w:i/>
          <w:sz w:val="20"/>
          <w:szCs w:val="20"/>
          <w:lang w:val="en-AU"/>
        </w:rPr>
        <w:t>T</w:t>
      </w:r>
      <w:r w:rsidRPr="00C21986">
        <w:rPr>
          <w:rFonts w:ascii="Times New Roman" w:eastAsia="Times New Roman" w:hAnsi="Times New Roman" w:cs="Times New Roman"/>
          <w:i/>
          <w:sz w:val="20"/>
          <w:szCs w:val="20"/>
          <w:vertAlign w:val="superscript"/>
          <w:lang w:val="en-AU"/>
        </w:rPr>
        <w:t>perc</w:t>
      </w:r>
      <w:r w:rsidRPr="00C21986">
        <w:rPr>
          <w:rFonts w:ascii="Times New Roman" w:eastAsia="Times New Roman" w:hAnsi="Times New Roman" w:cs="Times New Roman"/>
          <w:sz w:val="20"/>
          <w:szCs w:val="20"/>
          <w:lang w:val="en-AU"/>
        </w:rPr>
        <w:t xml:space="preserve">, perceived workforce turnover; </w:t>
      </w:r>
      <w:r w:rsidRPr="00C21986">
        <w:rPr>
          <w:rFonts w:ascii="Times New Roman" w:eastAsia="Times New Roman" w:hAnsi="Times New Roman" w:cs="Times New Roman"/>
          <w:i/>
          <w:sz w:val="20"/>
          <w:szCs w:val="20"/>
          <w:lang w:val="en-AU"/>
        </w:rPr>
        <w:t>τ</w:t>
      </w:r>
      <w:r w:rsidRPr="00C21986">
        <w:rPr>
          <w:rFonts w:ascii="Times New Roman" w:eastAsia="Times New Roman" w:hAnsi="Times New Roman" w:cs="Times New Roman"/>
          <w:i/>
          <w:sz w:val="20"/>
          <w:szCs w:val="20"/>
          <w:vertAlign w:val="subscript"/>
          <w:lang w:val="en-AU"/>
        </w:rPr>
        <w:t>fill</w:t>
      </w:r>
      <w:r w:rsidRPr="00C21986">
        <w:rPr>
          <w:rFonts w:ascii="Times New Roman" w:eastAsia="Times New Roman" w:hAnsi="Times New Roman" w:cs="Times New Roman"/>
          <w:sz w:val="20"/>
          <w:szCs w:val="20"/>
          <w:lang w:val="en-AU"/>
        </w:rPr>
        <w:t xml:space="preserve">, vacancy-filling horizon; the term </w:t>
      </w:r>
      <w:r w:rsidRPr="00C21986">
        <w:rPr>
          <w:rFonts w:ascii="Times New Roman" w:eastAsia="Times New Roman" w:hAnsi="Times New Roman" w:cs="Times New Roman"/>
          <w:i/>
          <w:sz w:val="20"/>
          <w:szCs w:val="20"/>
          <w:lang w:val="en-AU"/>
        </w:rPr>
        <w:t>T</w:t>
      </w:r>
      <w:r w:rsidRPr="00C21986">
        <w:rPr>
          <w:rFonts w:ascii="Times New Roman" w:eastAsia="Times New Roman" w:hAnsi="Times New Roman" w:cs="Times New Roman"/>
          <w:i/>
          <w:sz w:val="20"/>
          <w:szCs w:val="20"/>
          <w:vertAlign w:val="superscript"/>
          <w:lang w:val="en-AU"/>
        </w:rPr>
        <w:t>perc</w:t>
      </w:r>
      <w:r w:rsidRPr="00C21986">
        <w:rPr>
          <w:rFonts w:ascii="Times New Roman" w:eastAsia="Times New Roman" w:hAnsi="Times New Roman" w:cs="Times New Roman"/>
          <w:sz w:val="20"/>
          <w:szCs w:val="20"/>
          <w:lang w:val="en-AU"/>
        </w:rPr>
        <w:t xml:space="preserve"> * </w:t>
      </w:r>
      <w:r w:rsidRPr="00C21986">
        <w:rPr>
          <w:rFonts w:ascii="Times New Roman" w:eastAsia="Times New Roman" w:hAnsi="Times New Roman" w:cs="Times New Roman"/>
          <w:i/>
          <w:sz w:val="20"/>
          <w:szCs w:val="20"/>
          <w:lang w:val="en-AU"/>
        </w:rPr>
        <w:t>τ</w:t>
      </w:r>
      <w:r w:rsidRPr="00C21986">
        <w:rPr>
          <w:rFonts w:ascii="Times New Roman" w:eastAsia="Times New Roman" w:hAnsi="Times New Roman" w:cs="Times New Roman"/>
          <w:i/>
          <w:sz w:val="20"/>
          <w:szCs w:val="20"/>
          <w:vertAlign w:val="subscript"/>
          <w:lang w:val="en-AU"/>
        </w:rPr>
        <w:t>fill</w:t>
      </w:r>
      <w:r w:rsidRPr="00C21986">
        <w:rPr>
          <w:rFonts w:ascii="Times New Roman" w:eastAsia="Times New Roman" w:hAnsi="Times New Roman" w:cs="Times New Roman"/>
          <w:sz w:val="20"/>
          <w:szCs w:val="20"/>
          <w:lang w:val="en-AU"/>
        </w:rPr>
        <w:t xml:space="preserve"> represents the number of workers expected to be lost over the vacancy-filling horizon; </w:t>
      </w:r>
      <w:r w:rsidRPr="00C21986">
        <w:rPr>
          <w:rFonts w:ascii="Times New Roman" w:eastAsia="Times New Roman" w:hAnsi="Times New Roman" w:cs="Times New Roman"/>
          <w:i/>
          <w:sz w:val="20"/>
          <w:szCs w:val="20"/>
          <w:lang w:val="en-AU"/>
        </w:rPr>
        <w:t>τ</w:t>
      </w:r>
      <w:r w:rsidRPr="00C21986">
        <w:rPr>
          <w:rFonts w:ascii="Times New Roman" w:eastAsia="Times New Roman" w:hAnsi="Times New Roman" w:cs="Times New Roman"/>
          <w:i/>
          <w:sz w:val="20"/>
          <w:szCs w:val="20"/>
          <w:vertAlign w:val="subscript"/>
          <w:lang w:val="en-AU"/>
        </w:rPr>
        <w:t>rec</w:t>
      </w:r>
      <w:r w:rsidRPr="00C21986">
        <w:rPr>
          <w:rFonts w:ascii="Times New Roman" w:eastAsia="Times New Roman" w:hAnsi="Times New Roman" w:cs="Times New Roman"/>
          <w:sz w:val="20"/>
          <w:szCs w:val="20"/>
          <w:lang w:val="en-AU"/>
        </w:rPr>
        <w:t xml:space="preserve">, average time to recruit; </w:t>
      </w:r>
      <w:r w:rsidRPr="00C21986">
        <w:rPr>
          <w:rFonts w:ascii="Times New Roman" w:eastAsia="Times New Roman" w:hAnsi="Times New Roman" w:cs="Times New Roman"/>
          <w:i/>
          <w:sz w:val="20"/>
          <w:szCs w:val="20"/>
          <w:lang w:val="en-AU"/>
        </w:rPr>
        <w:t>u</w:t>
      </w:r>
      <w:r w:rsidRPr="00C21986">
        <w:rPr>
          <w:rFonts w:ascii="Times New Roman" w:eastAsia="Times New Roman" w:hAnsi="Times New Roman" w:cs="Times New Roman"/>
          <w:sz w:val="20"/>
          <w:szCs w:val="20"/>
          <w:lang w:val="en-AU"/>
        </w:rPr>
        <w:t xml:space="preserve">, calibrated Medicare service-utilisation fraction, representing the proportion of community-psychology service capacity observed as Medicare-subsidised activity; </w:t>
      </w:r>
      <w:r w:rsidRPr="00C21986">
        <w:rPr>
          <w:rFonts w:ascii="Times New Roman" w:eastAsia="Times New Roman" w:hAnsi="Times New Roman" w:cs="Times New Roman"/>
          <w:i/>
          <w:sz w:val="20"/>
          <w:szCs w:val="20"/>
          <w:lang w:val="en-AU"/>
        </w:rPr>
        <w:t>U</w:t>
      </w:r>
      <w:r w:rsidRPr="00C21986">
        <w:rPr>
          <w:rFonts w:ascii="Times New Roman" w:eastAsia="Times New Roman" w:hAnsi="Times New Roman" w:cs="Times New Roman"/>
          <w:i/>
          <w:sz w:val="20"/>
          <w:szCs w:val="20"/>
          <w:vertAlign w:val="subscript"/>
          <w:lang w:val="en-AU"/>
        </w:rPr>
        <w:t>post</w:t>
      </w:r>
      <w:r w:rsidRPr="00C21986">
        <w:rPr>
          <w:rFonts w:ascii="Times New Roman" w:eastAsia="Times New Roman" w:hAnsi="Times New Roman" w:cs="Times New Roman"/>
          <w:sz w:val="20"/>
          <w:szCs w:val="20"/>
          <w:lang w:val="en-AU"/>
        </w:rPr>
        <w:t xml:space="preserve">, unresolved post-treatment cases; </w:t>
      </w:r>
      <w:r w:rsidRPr="00C21986">
        <w:rPr>
          <w:rFonts w:ascii="Times New Roman" w:eastAsia="Times New Roman" w:hAnsi="Times New Roman" w:cs="Times New Roman"/>
          <w:i/>
          <w:sz w:val="20"/>
          <w:szCs w:val="20"/>
          <w:lang w:val="en-AU"/>
        </w:rPr>
        <w:t>W</w:t>
      </w:r>
      <w:r w:rsidRPr="00C21986">
        <w:rPr>
          <w:rFonts w:ascii="Times New Roman" w:eastAsia="Times New Roman" w:hAnsi="Times New Roman" w:cs="Times New Roman"/>
          <w:sz w:val="20"/>
          <w:szCs w:val="20"/>
          <w:lang w:val="en-AU"/>
        </w:rPr>
        <w:t xml:space="preserve">, available psychology workforce, measured as clinical FTE; </w:t>
      </w:r>
      <w:r w:rsidRPr="00C21986">
        <w:rPr>
          <w:rFonts w:ascii="Times New Roman" w:eastAsia="Times New Roman" w:hAnsi="Times New Roman" w:cs="Times New Roman"/>
          <w:i/>
          <w:sz w:val="20"/>
          <w:szCs w:val="20"/>
          <w:lang w:val="en-AU"/>
        </w:rPr>
        <w:t>W</w:t>
      </w:r>
      <w:r w:rsidRPr="00C21986">
        <w:rPr>
          <w:rFonts w:ascii="Times New Roman" w:eastAsia="Times New Roman" w:hAnsi="Times New Roman" w:cs="Times New Roman"/>
          <w:i/>
          <w:sz w:val="20"/>
          <w:szCs w:val="20"/>
          <w:vertAlign w:val="subscript"/>
          <w:lang w:val="en-AU"/>
        </w:rPr>
        <w:t>req</w:t>
      </w:r>
      <w:r w:rsidRPr="00C21986">
        <w:rPr>
          <w:rFonts w:ascii="Times New Roman" w:eastAsia="Times New Roman" w:hAnsi="Times New Roman" w:cs="Times New Roman"/>
          <w:sz w:val="20"/>
          <w:szCs w:val="20"/>
          <w:lang w:val="en-AU"/>
        </w:rPr>
        <w:t xml:space="preserve">, workforce required; </w:t>
      </w:r>
      <w:r w:rsidRPr="00C21986">
        <w:rPr>
          <w:rFonts w:ascii="Times New Roman" w:eastAsia="Times New Roman" w:hAnsi="Times New Roman" w:cs="Times New Roman"/>
          <w:i/>
          <w:sz w:val="20"/>
          <w:szCs w:val="20"/>
          <w:lang w:val="en-AU"/>
        </w:rPr>
        <w:t>w</w:t>
      </w:r>
      <w:r w:rsidRPr="00C21986">
        <w:rPr>
          <w:rFonts w:ascii="Times New Roman" w:eastAsia="Times New Roman" w:hAnsi="Times New Roman" w:cs="Times New Roman"/>
          <w:i/>
          <w:sz w:val="20"/>
          <w:szCs w:val="20"/>
          <w:vertAlign w:val="subscript"/>
          <w:lang w:val="en-AU"/>
        </w:rPr>
        <w:t>E</w:t>
      </w:r>
      <w:r w:rsidRPr="00C21986">
        <w:rPr>
          <w:rFonts w:ascii="Times New Roman" w:eastAsia="Times New Roman" w:hAnsi="Times New Roman" w:cs="Times New Roman"/>
          <w:sz w:val="20"/>
          <w:szCs w:val="20"/>
          <w:lang w:val="en-AU"/>
        </w:rPr>
        <w:t xml:space="preserve">, weight assigned to workforce energy; </w:t>
      </w:r>
      <w:r w:rsidRPr="00C21986">
        <w:rPr>
          <w:rFonts w:ascii="Times New Roman" w:eastAsia="Times New Roman" w:hAnsi="Times New Roman" w:cs="Times New Roman"/>
          <w:i/>
          <w:sz w:val="20"/>
          <w:szCs w:val="20"/>
          <w:lang w:val="en-AU"/>
        </w:rPr>
        <w:t>w</w:t>
      </w:r>
      <w:r w:rsidRPr="00C21986">
        <w:rPr>
          <w:rFonts w:ascii="Times New Roman" w:eastAsia="Times New Roman" w:hAnsi="Times New Roman" w:cs="Times New Roman"/>
          <w:i/>
          <w:sz w:val="20"/>
          <w:szCs w:val="20"/>
          <w:vertAlign w:val="subscript"/>
          <w:lang w:val="en-AU"/>
        </w:rPr>
        <w:t>P</w:t>
      </w:r>
      <w:r w:rsidRPr="00C21986">
        <w:rPr>
          <w:rFonts w:ascii="Times New Roman" w:eastAsia="Times New Roman" w:hAnsi="Times New Roman" w:cs="Times New Roman"/>
          <w:sz w:val="20"/>
          <w:szCs w:val="20"/>
          <w:lang w:val="en-AU"/>
        </w:rPr>
        <w:t>, weight assigned to professional passion relative to professional experience. Full implemented equations, including perception delays, switches, conditional formulations and scenario-specific constraints, are provided in the supplementary model documentation.</w:t>
      </w:r>
    </w:p>
    <w:p w14:paraId="2D0EC9B3" w14:textId="77777777" w:rsidR="00583917" w:rsidRPr="00C21986" w:rsidRDefault="00583917" w:rsidP="00C21986">
      <w:pPr>
        <w:jc w:val="both"/>
        <w:rPr>
          <w:rFonts w:ascii="Times New Roman" w:eastAsia="Times New Roman" w:hAnsi="Times New Roman" w:cs="Times New Roman"/>
          <w:sz w:val="20"/>
          <w:szCs w:val="20"/>
          <w:lang w:val="en-AU"/>
        </w:rPr>
      </w:pPr>
    </w:p>
    <w:p w14:paraId="0B384387" w14:textId="77777777" w:rsidR="008959E8" w:rsidRPr="00C21986" w:rsidRDefault="008959E8" w:rsidP="00C21986">
      <w:pPr>
        <w:rPr>
          <w:rFonts w:ascii="Times New Roman" w:hAnsi="Times New Roman" w:cs="Times New Roman"/>
          <w:sz w:val="20"/>
          <w:szCs w:val="20"/>
        </w:rPr>
      </w:pPr>
    </w:p>
    <w:sectPr w:rsidR="008959E8" w:rsidRPr="00C21986" w:rsidSect="0058391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17"/>
    <w:rsid w:val="00583917"/>
    <w:rsid w:val="007712EB"/>
    <w:rsid w:val="008959E8"/>
    <w:rsid w:val="008B08EB"/>
    <w:rsid w:val="009B7B43"/>
    <w:rsid w:val="00A516CD"/>
    <w:rsid w:val="00A74983"/>
    <w:rsid w:val="00C219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D129"/>
  <w15:chartTrackingRefBased/>
  <w15:docId w15:val="{AF540912-6E17-4E46-A351-C908E8CE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917"/>
    <w:pPr>
      <w:spacing w:after="200" w:line="276" w:lineRule="auto"/>
    </w:pPr>
    <w:rPr>
      <w:rFonts w:ascii="Aptos" w:eastAsiaTheme="minorEastAsia" w:hAnsi="Aptos"/>
      <w:kern w:val="0"/>
      <w:sz w:val="18"/>
      <w:szCs w:val="22"/>
      <w:lang w:val="en-US"/>
      <w14:ligatures w14:val="none"/>
    </w:rPr>
  </w:style>
  <w:style w:type="paragraph" w:styleId="Heading1">
    <w:name w:val="heading 1"/>
    <w:basedOn w:val="Normal"/>
    <w:next w:val="Normal"/>
    <w:link w:val="Heading1Char"/>
    <w:uiPriority w:val="9"/>
    <w:qFormat/>
    <w:rsid w:val="005839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5839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5839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58391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AU"/>
      <w14:ligatures w14:val="standardContextual"/>
    </w:rPr>
  </w:style>
  <w:style w:type="paragraph" w:styleId="Heading5">
    <w:name w:val="heading 5"/>
    <w:basedOn w:val="Normal"/>
    <w:next w:val="Normal"/>
    <w:link w:val="Heading5Char"/>
    <w:uiPriority w:val="9"/>
    <w:semiHidden/>
    <w:unhideWhenUsed/>
    <w:qFormat/>
    <w:rsid w:val="0058391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AU"/>
      <w14:ligatures w14:val="standardContextual"/>
    </w:rPr>
  </w:style>
  <w:style w:type="paragraph" w:styleId="Heading6">
    <w:name w:val="heading 6"/>
    <w:basedOn w:val="Normal"/>
    <w:next w:val="Normal"/>
    <w:link w:val="Heading6Char"/>
    <w:uiPriority w:val="9"/>
    <w:semiHidden/>
    <w:unhideWhenUsed/>
    <w:qFormat/>
    <w:rsid w:val="0058391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AU"/>
      <w14:ligatures w14:val="standardContextual"/>
    </w:rPr>
  </w:style>
  <w:style w:type="paragraph" w:styleId="Heading7">
    <w:name w:val="heading 7"/>
    <w:basedOn w:val="Normal"/>
    <w:next w:val="Normal"/>
    <w:link w:val="Heading7Char"/>
    <w:uiPriority w:val="9"/>
    <w:semiHidden/>
    <w:unhideWhenUsed/>
    <w:qFormat/>
    <w:rsid w:val="0058391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AU"/>
      <w14:ligatures w14:val="standardContextual"/>
    </w:rPr>
  </w:style>
  <w:style w:type="paragraph" w:styleId="Heading8">
    <w:name w:val="heading 8"/>
    <w:basedOn w:val="Normal"/>
    <w:next w:val="Normal"/>
    <w:link w:val="Heading8Char"/>
    <w:uiPriority w:val="9"/>
    <w:semiHidden/>
    <w:unhideWhenUsed/>
    <w:qFormat/>
    <w:rsid w:val="0058391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AU"/>
      <w14:ligatures w14:val="standardContextual"/>
    </w:rPr>
  </w:style>
  <w:style w:type="paragraph" w:styleId="Heading9">
    <w:name w:val="heading 9"/>
    <w:basedOn w:val="Normal"/>
    <w:next w:val="Normal"/>
    <w:link w:val="Heading9Char"/>
    <w:uiPriority w:val="9"/>
    <w:semiHidden/>
    <w:unhideWhenUsed/>
    <w:qFormat/>
    <w:rsid w:val="0058391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917"/>
    <w:rPr>
      <w:rFonts w:eastAsiaTheme="majorEastAsia" w:cstheme="majorBidi"/>
      <w:color w:val="272727" w:themeColor="text1" w:themeTint="D8"/>
    </w:rPr>
  </w:style>
  <w:style w:type="paragraph" w:styleId="Title">
    <w:name w:val="Title"/>
    <w:basedOn w:val="Normal"/>
    <w:next w:val="Normal"/>
    <w:link w:val="TitleChar"/>
    <w:uiPriority w:val="10"/>
    <w:qFormat/>
    <w:rsid w:val="00583917"/>
    <w:pPr>
      <w:spacing w:after="80" w:line="240" w:lineRule="auto"/>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583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9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583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917"/>
    <w:pPr>
      <w:spacing w:before="160" w:after="160" w:line="278" w:lineRule="auto"/>
      <w:jc w:val="center"/>
    </w:pPr>
    <w:rPr>
      <w:rFonts w:asciiTheme="minorHAnsi" w:eastAsiaTheme="minorHAnsi" w:hAnsiTheme="minorHAnsi"/>
      <w:i/>
      <w:iCs/>
      <w:color w:val="404040" w:themeColor="text1" w:themeTint="BF"/>
      <w:kern w:val="2"/>
      <w:sz w:val="24"/>
      <w:szCs w:val="24"/>
      <w:lang w:val="en-AU"/>
      <w14:ligatures w14:val="standardContextual"/>
    </w:rPr>
  </w:style>
  <w:style w:type="character" w:customStyle="1" w:styleId="QuoteChar">
    <w:name w:val="Quote Char"/>
    <w:basedOn w:val="DefaultParagraphFont"/>
    <w:link w:val="Quote"/>
    <w:uiPriority w:val="29"/>
    <w:rsid w:val="00583917"/>
    <w:rPr>
      <w:i/>
      <w:iCs/>
      <w:color w:val="404040" w:themeColor="text1" w:themeTint="BF"/>
    </w:rPr>
  </w:style>
  <w:style w:type="paragraph" w:styleId="ListParagraph">
    <w:name w:val="List Paragraph"/>
    <w:basedOn w:val="Normal"/>
    <w:uiPriority w:val="34"/>
    <w:qFormat/>
    <w:rsid w:val="00583917"/>
    <w:pPr>
      <w:spacing w:after="160" w:line="278" w:lineRule="auto"/>
      <w:ind w:left="720"/>
      <w:contextualSpacing/>
    </w:pPr>
    <w:rPr>
      <w:rFonts w:asciiTheme="minorHAnsi" w:eastAsiaTheme="minorHAnsi" w:hAnsiTheme="minorHAnsi"/>
      <w:kern w:val="2"/>
      <w:sz w:val="24"/>
      <w:szCs w:val="24"/>
      <w:lang w:val="en-AU"/>
      <w14:ligatures w14:val="standardContextual"/>
    </w:rPr>
  </w:style>
  <w:style w:type="character" w:styleId="IntenseEmphasis">
    <w:name w:val="Intense Emphasis"/>
    <w:basedOn w:val="DefaultParagraphFont"/>
    <w:uiPriority w:val="21"/>
    <w:qFormat/>
    <w:rsid w:val="00583917"/>
    <w:rPr>
      <w:i/>
      <w:iCs/>
      <w:color w:val="0F4761" w:themeColor="accent1" w:themeShade="BF"/>
    </w:rPr>
  </w:style>
  <w:style w:type="paragraph" w:styleId="IntenseQuote">
    <w:name w:val="Intense Quote"/>
    <w:basedOn w:val="Normal"/>
    <w:next w:val="Normal"/>
    <w:link w:val="IntenseQuoteChar"/>
    <w:uiPriority w:val="30"/>
    <w:qFormat/>
    <w:rsid w:val="005839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AU"/>
      <w14:ligatures w14:val="standardContextual"/>
    </w:rPr>
  </w:style>
  <w:style w:type="character" w:customStyle="1" w:styleId="IntenseQuoteChar">
    <w:name w:val="Intense Quote Char"/>
    <w:basedOn w:val="DefaultParagraphFont"/>
    <w:link w:val="IntenseQuote"/>
    <w:uiPriority w:val="30"/>
    <w:rsid w:val="00583917"/>
    <w:rPr>
      <w:i/>
      <w:iCs/>
      <w:color w:val="0F4761" w:themeColor="accent1" w:themeShade="BF"/>
    </w:rPr>
  </w:style>
  <w:style w:type="character" w:styleId="IntenseReference">
    <w:name w:val="Intense Reference"/>
    <w:basedOn w:val="DefaultParagraphFont"/>
    <w:uiPriority w:val="32"/>
    <w:qFormat/>
    <w:rsid w:val="00583917"/>
    <w:rPr>
      <w:b/>
      <w:bCs/>
      <w:smallCaps/>
      <w:color w:val="0F4761" w:themeColor="accent1" w:themeShade="BF"/>
      <w:spacing w:val="5"/>
    </w:rPr>
  </w:style>
  <w:style w:type="table" w:styleId="TableGrid">
    <w:name w:val="Table Grid"/>
    <w:basedOn w:val="TableNormal"/>
    <w:uiPriority w:val="59"/>
    <w:rsid w:val="0058391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298C2-8263-4C9B-A4DA-7125E564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1171</Words>
  <Characters>6678</Characters>
  <Application>Microsoft Office Word</Application>
  <DocSecurity>0</DocSecurity>
  <Lines>55</Lines>
  <Paragraphs>15</Paragraphs>
  <ScaleCrop>false</ScaleCrop>
  <Company>The University of Queensland</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Hulme</dc:creator>
  <cp:keywords/>
  <dc:description/>
  <cp:lastModifiedBy>Adam Hulme</cp:lastModifiedBy>
  <cp:revision>3</cp:revision>
  <dcterms:created xsi:type="dcterms:W3CDTF">2026-10-16T03:13:00Z</dcterms:created>
  <dcterms:modified xsi:type="dcterms:W3CDTF">2026-10-16T07:04:00Z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2026-10-16T03:13:46Z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91b771d9-dd09-4ba7-9ee6-7a36642545e3</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