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line="480" w:lineRule="auto"/>
        <w:jc w:val="center"/>
      </w:pPr>
      <w:r>
        <w:rPr>
          <w:b/>
          <w:sz w:val="30"/>
        </w:rPr>
        <w:t>Supplementary Material</w:t>
      </w:r>
    </w:p>
    <w:p>
      <w:pPr>
        <w:widowControl/>
        <w:spacing w:line="480" w:lineRule="auto"/>
        <w:jc w:val="center"/>
      </w:pPr>
      <w:r>
        <w:t>Beyond Independent Shots on Goal: Risk Capacity, Synergy, and Concentration in Pharmaceutical R&amp;D Portfolios</w:t>
      </w:r>
    </w:p>
    <w:p>
      <w:pPr>
        <w:widowControl/>
        <w:spacing w:line="480" w:lineRule="auto"/>
        <w:jc w:val="center"/>
      </w:pPr>
      <w:r>
        <w:t>Michael R. Doane, D.Eng.</w:t>
      </w:r>
    </w:p>
    <w:p>
      <w:pPr>
        <w:pStyle w:val="Heading1"/>
        <w:widowControl/>
        <w:spacing w:line="480" w:lineRule="auto"/>
      </w:pPr>
      <w:r>
        <w:rPr>
          <w:rFonts w:ascii="Times New Roman" w:hAnsi="Times New Roman"/>
          <w:color w:val="000000"/>
          <w:sz w:val="24"/>
        </w:rPr>
        <w:t>Supplementary Methods</w:t>
      </w:r>
    </w:p>
    <w:p>
      <w:pPr>
        <w:pStyle w:val="Heading2"/>
        <w:widowControl/>
        <w:spacing w:line="480" w:lineRule="auto"/>
      </w:pPr>
      <w:r>
        <w:rPr>
          <w:rFonts w:ascii="Times New Roman" w:hAnsi="Times New Roman"/>
          <w:color w:val="000000"/>
          <w:sz w:val="24"/>
        </w:rPr>
        <w:t>Exact Matched-Heterogeneity Integration</w:t>
      </w:r>
    </w:p>
    <w:p>
      <w:pPr>
        <w:widowControl/>
        <w:spacing w:line="480" w:lineRule="auto"/>
      </w:pPr>
      <w:r>
        <w:t>The matched-heterogeneity analysis (experiment E8) used 1,000 Latin hypercube opportunity sets. Each set contained six programs and was held fixed across diversified, pipeline-in-a-pill (PIAP), and multiple-shots-on-goal (MSOG) structures. Cumulative probability of technical and regulatory success (pTRS) followed a triangular distribution with lower bound 0.075, mode 0.151, and upper bound 0.227. Development-cost multipliers ranged from 0.70 to 1.30, peak-sales multipliers from 0.50 to 1.50, and phase durations were sampled from triangular distributions and rounded to half-year increments (Table S2).</w:t>
      </w:r>
    </w:p>
    <w:p>
      <w:pPr>
        <w:widowControl/>
        <w:spacing w:line="480" w:lineRule="auto"/>
      </w:pPr>
      <w:r>
        <w:t xml:space="preserve">For every opportunity set, the analysis enumerated all </w:t>
      </w:r>
      <m:oMath>
        <m:sSup>
          <m:e>
            <m:r>
              <m:rPr>
                <m:sty m:val="i"/>
              </m:rPr>
              <w:rPr>
                <w:rFonts w:ascii="Cambria Math" w:hAnsi="Cambria Math"/>
                <w:sz w:val="24"/>
              </w:rPr>
              <m:t xml:space="preserve">4</m:t>
            </m:r>
          </m:e>
          <m:sup>
            <m:r>
              <m:rPr>
                <m:sty m:val="i"/>
              </m:rPr>
              <w:rPr>
                <w:rFonts w:ascii="Cambria Math" w:hAnsi="Cambria Math"/>
                <w:sz w:val="24"/>
              </w:rPr>
              <m:t xml:space="preserve">6</m:t>
            </m:r>
          </m:sup>
        </m:sSup>
      </m:oMath>
      <w:r>
        <w:t xml:space="preserve"> realized program-state combinations: Phase 2 failure, Phase 3 failure, regulatory failure, or launch. At each phase, 32-point Gauss-Hermite quadrature integrated the shared Gaussian factor; factors were independent between phases. Enumeration was exact over the 4,096 states, while the factor integral was a numerical approximation. This removed Monte Carlo screening noise from the 1,000-cell frontier. Eight cells near decision boundaries were evaluated with separate Monte Carlo runs of 250,000 paths each.</w:t>
      </w:r>
    </w:p>
    <w:p>
      <w:pPr>
        <w:pStyle w:val="Heading2"/>
        <w:widowControl/>
        <w:spacing w:line="480" w:lineRule="auto"/>
      </w:pPr>
      <w:r>
        <w:rPr>
          <w:rFonts w:ascii="Times New Roman" w:hAnsi="Times New Roman"/>
          <w:color w:val="000000"/>
          <w:sz w:val="24"/>
        </w:rPr>
        <w:t>Decision and Validation Rules</w:t>
      </w:r>
    </w:p>
    <w:p>
      <w:pPr>
        <w:widowControl/>
        <w:spacing w:line="480" w:lineRule="auto"/>
      </w:pPr>
      <w:r>
        <w:t>A concentrated strategy cleared the primary frontier when expected net present value (eNPV) was at least equal to diversification, fifth-percentile net present value (P5 NPV) was at least -⁠$1,000 million, and high-capacity breach probability was at most 10%. Research and development (R&amp;D) saving on the five additional programs was evaluated from 0% to 30% in one-percentage-point increments. The base-capacity stress test used a P5 limit of -⁠$1,500 million and a maximum breach probability of 20%. Launch targets were reported separately and did not enter the economic frontier. Boundary-confirmation criteria were a maximum $25 million half-width for eNPV differences, a maximum 0.25-percentage-point half-width for probabilities, and at least 75% coverage of the integrated estimates by the Monte Carlo intervals.</w:t>
      </w:r>
    </w:p>
    <w:p>
      <w:pPr>
        <w:widowControl/>
        <w:spacing w:line="480" w:lineRule="auto"/>
      </w:pPr>
      <w:r>
        <w:t>The launch-count planning approximation estimated the nominal starts needed for 70%, 80%, and 90% probabilities of at least one, two, or three eventual approvals assigned to a mature three-year planning period. It did not simulate program entry dates or rolling calendar windows. Independent assets formed single-program groups, MSOG used groups of three, and PIAP used groups of six; different groups were independent. Each structure used 250,000 paths. The flat analysis required passage through three phase-specific Gaussian factors. The heterogeneous extension instead applied one Gaussian factor to cumulative pTRS, sampled separately for each program and path. It therefore varied both pTRS and the dependence specification. Figure S1 shows that extension.</w:t>
      </w:r>
    </w:p>
    <w:p>
      <w:pPr>
        <w:pStyle w:val="Heading2"/>
        <w:keepNext/>
        <w:widowControl/>
        <w:spacing w:line="480" w:lineRule="auto"/>
      </w:pPr>
      <w:r>
        <w:rPr>
          <w:rFonts w:ascii="Times New Roman" w:hAnsi="Times New Roman"/>
          <w:color w:val="000000"/>
          <w:sz w:val="24"/>
        </w:rPr>
        <w:t>Portfolio Structure and Staging</w:t>
      </w:r>
    </w:p>
    <w:p>
      <w:pPr>
        <w:keepNext w:val="0"/>
        <w:widowControl/>
        <w:spacing w:line="480" w:lineRule="auto"/>
      </w:pPr>
      <w:r>
        <w:t>The economic analyses assigned all six PIAP programs to one asset-level cluster and all six MSOG programs to one shared-biology cluster. Their latent Gaussian correlations were 0.415 and 0.250, respectively. These are scenario values informed by the empirical dependence literature, not direct estimates of binary outcome correlations. Marginal phase-transition probabilities were preserved. The MSOG economic cluster therefore differs from the independent trios used in the separate launch-count analysis.</w:t>
      </w:r>
    </w:p>
    <w:p>
      <w:pPr>
        <w:keepNext w:val="0"/>
        <w:widowControl/>
        <w:spacing w:line="480" w:lineRule="auto"/>
      </w:pPr>
      <w:r>
        <w:t>All six programs began Phase 2 at time zero under both parallel and staged development. Under staging, Phase 2 passers entered Phase 3 and regulatory review one at a time in their assigned program order. If an attempted lead failed, the next eligible program proceeded. After the first approval, all remaining Phase 2 passers entered Phase 3 together, subject to completion of their own Phase 2 study. There was no rule that abandoned remaining programs after a failed lead. Staging changed when later costs and revenues occurred; it did not reduce the number of programs eventually attempted.</w:t>
      </w:r>
    </w:p>
    <w:p>
      <w:pPr>
        <w:pStyle w:val="Heading2"/>
        <w:keepNext/>
        <w:widowControl/>
        <w:spacing w:line="480" w:lineRule="auto"/>
      </w:pPr>
      <w:r>
        <w:rPr>
          <w:rFonts w:ascii="Times New Roman" w:hAnsi="Times New Roman"/>
          <w:color w:val="000000"/>
          <w:sz w:val="24"/>
        </w:rPr>
        <w:t>Cash Flows and Metric Definitions</w:t>
      </w:r>
    </w:p>
    <w:p>
      <w:pPr>
        <w:keepNext w:val="0"/>
        <w:widowControl/>
        <w:spacing w:line="480" w:lineRule="auto"/>
      </w:pPr>
      <w:r>
        <w:t>The economic horizon was 20 years with half-year time steps and a 10% discount rate. Development spending was spread over each phase. Commercial cash flows began one year after modeled approval. After loss of exclusivity (LOE), sales fell to 10% of the modeled pre-LOE sales path, while annual commercial support costs continued through the horizon. At each time point, the specified cannibalization rate reduced only the combined revenue beyond that of the largest program. The existing franchise had separate LOE and decline assumptions. All monetary values were in constant 2026 US dollars.</w:t>
      </w:r>
    </w:p>
    <w:p>
      <w:pPr>
        <w:keepNext w:val="0"/>
        <w:widowControl/>
        <w:spacing w:line="480" w:lineRule="auto"/>
      </w:pPr>
      <w:r>
        <w:t>Expected development cost was the expected present value of development spending. Expected productivity index (ePI) was eNPV divided by that expected discounted development cost. The lower cost reported for staged development mainly reflected deferral and discounting, rather than trials avoided. Cash flows after the 20-year horizon were excluded. Heterogeneous staging summaries reported median differences across the 1,000 opportunity sets; fixed-benchmark figures described a separate scenario.</w:t>
      </w:r>
    </w:p>
    <w:p>
      <w:pPr>
        <w:keepNext/>
        <w:widowControl/>
        <w:spacing w:line="480" w:lineRule="auto"/>
      </w:pPr>
      <w:r>
        <w:t xml:space="preserve">P5 was the fifth percentile of portfolio NPV. Conditional value at risk for the worst 5% of outcomes (CVaR5) was the average over exactly the lowest 5% of the NPV distribution. At a tied boundary, only the probability mass needed to reach 5% was included. With sorted outcomes </w:t>
      </w:r>
      <m:oMath>
        <m:sSub>
          <m:e>
            <m:r>
              <m:rPr>
                <m:sty m:val="i"/>
              </m:rPr>
              <w:rPr>
                <w:rFonts w:ascii="Cambria Math" w:hAnsi="Cambria Math"/>
                <w:sz w:val="24"/>
              </w:rPr>
              <m:t xml:space="preserve">x</m:t>
            </m:r>
          </m:e>
          <m:sub>
            <m:r>
              <m:rPr>
                <m:sty m:val="i"/>
              </m:rPr>
              <w:rPr>
                <w:rFonts w:ascii="Cambria Math" w:hAnsi="Cambria Math"/>
                <w:sz w:val="24"/>
              </w:rPr>
              <m:t xml:space="preserve">j</m:t>
            </m:r>
          </m:sub>
        </m:sSub>
      </m:oMath>
      <w:r>
        <w:t xml:space="preserve">, weights </w:t>
      </w:r>
      <m:oMath>
        <m:sSub>
          <m:e>
            <m:r>
              <m:rPr>
                <m:sty m:val="i"/>
              </m:rPr>
              <w:rPr>
                <w:rFonts w:ascii="Cambria Math" w:hAnsi="Cambria Math"/>
                <w:sz w:val="24"/>
              </w:rPr>
              <m:t xml:space="preserve">w</m:t>
            </m:r>
          </m:e>
          <m:sub>
            <m:r>
              <m:rPr>
                <m:sty m:val="i"/>
              </m:rPr>
              <w:rPr>
                <w:rFonts w:ascii="Cambria Math" w:hAnsi="Cambria Math"/>
                <w:sz w:val="24"/>
              </w:rPr>
              <m:t xml:space="preserve">j</m:t>
            </m:r>
          </m:sub>
        </m:sSub>
      </m:oMath>
      <w:r>
        <w:t xml:space="preserve">, and cumulative weights </w:t>
      </w:r>
      <m:oMath>
        <m:sSub>
          <m:e>
            <m:r>
              <m:rPr>
                <m:sty m:val="i"/>
              </m:rPr>
              <w:rPr>
                <w:rFonts w:ascii="Cambria Math" w:hAnsi="Cambria Math"/>
                <w:sz w:val="24"/>
              </w:rPr>
              <m:t xml:space="preserve">W</m:t>
            </m:r>
          </m:e>
          <m:sub>
            <m:r>
              <m:rPr>
                <m:sty m:val="i"/>
              </m:rPr>
              <w:rPr>
                <w:rFonts w:ascii="Cambria Math" w:hAnsi="Cambria Math"/>
                <w:sz w:val="24"/>
              </w:rPr>
              <m:t xml:space="preserve">j</m:t>
            </m:r>
          </m:sub>
        </m:sSub>
      </m:oMath>
      <w:r>
        <w:t>, the included weight was</w:t>
      </w:r>
    </w:p>
    <w:p>
      <w:pPr>
        <w:keepNext/>
        <w:keepLines/>
        <w:widowControl/>
        <w:spacing w:line="480" w:lineRule="auto" w:before="120" w:after="160"/>
        <w:jc w:val="center"/>
      </w:pPr>
      <m:oMath>
        <m:sSub>
          <m:e>
            <m:r>
              <m:rPr>
                <m:sty m:val="i"/>
              </m:rPr>
              <w:rPr>
                <w:rFonts w:ascii="Cambria Math" w:hAnsi="Cambria Math"/>
                <w:sz w:val="24"/>
              </w:rPr>
              <m:t xml:space="preserve">a</m:t>
            </m:r>
          </m:e>
          <m:sub>
            <m:r>
              <m:rPr>
                <m:sty m:val="i"/>
              </m:rPr>
              <w:rPr>
                <w:rFonts w:ascii="Cambria Math" w:hAnsi="Cambria Math"/>
                <w:sz w:val="24"/>
              </w:rPr>
              <m:t xml:space="preserve">j</m:t>
            </m:r>
          </m:sub>
        </m:sSub>
        <m:r>
          <m:rPr>
            <m:sty m:val="i"/>
          </m:rPr>
          <w:rPr>
            <w:rFonts w:ascii="Cambria Math" w:hAnsi="Cambria Math"/>
            <w:sz w:val="24"/>
          </w:rPr>
          <m:t xml:space="preserve"> = </m:t>
        </m:r>
        <m:r>
          <m:rPr>
            <m:nor m:val="1"/>
            <m:sty m:val="p"/>
          </m:rPr>
          <w:rPr>
            <w:rFonts w:ascii="Cambria Math" w:hAnsi="Cambria Math"/>
            <w:sz w:val="24"/>
          </w:rPr>
          <m:t xml:space="preserve">min</m:t>
        </m:r>
        <m:r>
          <m:rPr>
            <m:sty m:val="i"/>
          </m:rPr>
          <w:rPr>
            <w:rFonts w:ascii="Cambria Math" w:hAnsi="Cambria Math"/>
            <w:sz w:val="24"/>
          </w:rPr>
          <m:t xml:space="preserve">[</m:t>
        </m:r>
        <m:sSub>
          <m:e>
            <m:r>
              <m:rPr>
                <m:sty m:val="i"/>
              </m:rPr>
              <w:rPr>
                <w:rFonts w:ascii="Cambria Math" w:hAnsi="Cambria Math"/>
                <w:sz w:val="24"/>
              </w:rPr>
              <m:t xml:space="preserve">w</m:t>
            </m:r>
          </m:e>
          <m:sub>
            <m:r>
              <m:rPr>
                <m:sty m:val="i"/>
              </m:rPr>
              <w:rPr>
                <w:rFonts w:ascii="Cambria Math" w:hAnsi="Cambria Math"/>
                <w:sz w:val="24"/>
              </w:rPr>
              <m:t xml:space="preserve">j</m:t>
            </m:r>
          </m:sub>
        </m:sSub>
        <m:r>
          <m:rPr>
            <m:sty m:val="i"/>
          </m:rPr>
          <w:rPr>
            <w:rFonts w:ascii="Cambria Math" w:hAnsi="Cambria Math"/>
            <w:sz w:val="24"/>
          </w:rPr>
          <m:t xml:space="preserve">, </m:t>
        </m:r>
        <m:r>
          <m:rPr>
            <m:nor m:val="1"/>
            <m:sty m:val="p"/>
          </m:rPr>
          <w:rPr>
            <w:rFonts w:ascii="Cambria Math" w:hAnsi="Cambria Math"/>
            <w:sz w:val="24"/>
          </w:rPr>
          <m:t xml:space="preserve">max</m:t>
        </m:r>
        <m:r>
          <m:rPr>
            <m:sty m:val="i"/>
          </m:rPr>
          <w:rPr>
            <w:rFonts w:ascii="Cambria Math" w:hAnsi="Cambria Math"/>
            <w:sz w:val="24"/>
          </w:rPr>
          <m:t xml:space="preserve">(0, 0.05 − </m:t>
        </m:r>
        <m:sSub>
          <m:e>
            <m:r>
              <m:rPr>
                <m:sty m:val="i"/>
              </m:rPr>
              <w:rPr>
                <w:rFonts w:ascii="Cambria Math" w:hAnsi="Cambria Math"/>
                <w:sz w:val="24"/>
              </w:rPr>
              <m:t xml:space="preserve">W</m:t>
            </m:r>
          </m:e>
          <m:sub>
            <m:r>
              <m:rPr>
                <m:sty m:val="i"/>
              </m:rPr>
              <w:rPr>
                <w:rFonts w:ascii="Cambria Math" w:hAnsi="Cambria Math"/>
                <w:sz w:val="24"/>
              </w:rPr>
              <m:t xml:space="preserve">j−1</m:t>
            </m:r>
          </m:sub>
        </m:sSub>
        <m:r>
          <m:rPr>
            <m:sty m:val="i"/>
          </m:rPr>
          <w:rPr>
            <w:rFonts w:ascii="Cambria Math" w:hAnsi="Cambria Math"/>
            <w:sz w:val="24"/>
          </w:rPr>
          <m:t xml:space="preserve">)]</m:t>
        </m:r>
      </m:oMath>
      <w:r>
        <w:t xml:space="preserve">     (S1)</w:t>
      </w:r>
    </w:p>
    <w:p>
      <w:pPr>
        <w:keepNext/>
        <w:keepLines/>
        <w:widowControl/>
        <w:spacing w:line="480" w:lineRule="auto" w:before="120" w:after="160"/>
        <w:jc w:val="center"/>
      </w:pPr>
      <m:oMath>
        <m:sSub>
          <m:e>
            <m:r>
              <m:rPr>
                <m:nor m:val="1"/>
                <m:sty m:val="p"/>
              </m:rPr>
              <w:rPr>
                <w:rFonts w:ascii="Cambria Math" w:hAnsi="Cambria Math"/>
                <w:sz w:val="24"/>
              </w:rPr>
              <m:t xml:space="preserve">CVaR</m:t>
            </m:r>
          </m:e>
          <m:sub>
            <m:r>
              <m:rPr>
                <m:sty m:val="i"/>
              </m:rPr>
              <w:rPr>
                <w:rFonts w:ascii="Cambria Math" w:hAnsi="Cambria Math"/>
                <w:sz w:val="24"/>
              </w:rPr>
              <m:t xml:space="preserve">5</m:t>
            </m:r>
          </m:sub>
        </m:sSub>
        <m:r>
          <m:rPr>
            <m:sty m:val="i"/>
          </m:rPr>
          <w:rPr>
            <w:rFonts w:ascii="Cambria Math" w:hAnsi="Cambria Math"/>
            <w:sz w:val="24"/>
          </w:rPr>
          <m:t xml:space="preserve"> = </m:t>
        </m:r>
        <m:f>
          <m:num>
            <m:nary>
              <m:naryPr>
                <m:chr m:val="∑"/>
                <m:limLoc m:val="subSup"/>
                <m:supHide m:val="1"/>
              </m:naryPr>
              <m:sub>
                <m:r>
                  <m:rPr>
                    <m:sty m:val="i"/>
                  </m:rPr>
                  <w:rPr>
                    <w:rFonts w:ascii="Cambria Math" w:hAnsi="Cambria Math"/>
                    <w:sz w:val="24"/>
                  </w:rPr>
                  <m:t xml:space="preserve">j</m:t>
                </m:r>
              </m:sub>
              <m:sup/>
              <m:e>
                <m:sSub>
                  <m:e>
                    <m:r>
                      <m:rPr>
                        <m:sty m:val="i"/>
                      </m:rPr>
                      <w:rPr>
                        <w:rFonts w:ascii="Cambria Math" w:hAnsi="Cambria Math"/>
                        <w:sz w:val="24"/>
                      </w:rPr>
                      <m:t xml:space="preserve">a</m:t>
                    </m:r>
                  </m:e>
                  <m:sub>
                    <m:r>
                      <m:rPr>
                        <m:sty m:val="i"/>
                      </m:rPr>
                      <w:rPr>
                        <w:rFonts w:ascii="Cambria Math" w:hAnsi="Cambria Math"/>
                        <w:sz w:val="24"/>
                      </w:rPr>
                      <m:t xml:space="preserve">j</m:t>
                    </m:r>
                  </m:sub>
                </m:sSub>
                <m:sSub>
                  <m:e>
                    <m:r>
                      <m:rPr>
                        <m:sty m:val="i"/>
                      </m:rPr>
                      <w:rPr>
                        <w:rFonts w:ascii="Cambria Math" w:hAnsi="Cambria Math"/>
                        <w:sz w:val="24"/>
                      </w:rPr>
                      <m:t xml:space="preserve">x</m:t>
                    </m:r>
                  </m:e>
                  <m:sub>
                    <m:r>
                      <m:rPr>
                        <m:sty m:val="i"/>
                      </m:rPr>
                      <w:rPr>
                        <w:rFonts w:ascii="Cambria Math" w:hAnsi="Cambria Math"/>
                        <w:sz w:val="24"/>
                      </w:rPr>
                      <m:t xml:space="preserve">j</m:t>
                    </m:r>
                  </m:sub>
                </m:sSub>
              </m:e>
            </m:nary>
          </m:num>
          <m:den>
            <m:r>
              <m:rPr>
                <m:sty m:val="i"/>
              </m:rPr>
              <w:rPr>
                <w:rFonts w:ascii="Cambria Math" w:hAnsi="Cambria Math"/>
                <w:sz w:val="24"/>
              </w:rPr>
              <m:t xml:space="preserve">0.05</m:t>
            </m:r>
          </m:den>
        </m:f>
      </m:oMath>
      <w:r>
        <w:t xml:space="preserve">     (S2)</w:t>
      </w:r>
    </w:p>
    <w:p>
      <w:pPr>
        <w:widowControl/>
        <w:spacing w:line="480" w:lineRule="auto"/>
      </w:pPr>
      <w:r>
        <w:t>Monte Carlo paths have equal weights. This definition was applied to both simulation and finite-state results.</w:t>
      </w:r>
    </w:p>
    <w:p>
      <w:pPr>
        <w:keepNext/>
        <w:widowControl/>
        <w:spacing w:line="480" w:lineRule="auto"/>
      </w:pPr>
      <w:r>
        <w:t xml:space="preserve">For </w:t>
      </w:r>
      <m:oMath>
        <m:r>
          <m:rPr>
            <m:sty m:val="i"/>
          </m:rPr>
          <w:rPr>
            <w:rFonts w:ascii="Cambria Math" w:hAnsi="Cambria Math"/>
            <w:sz w:val="24"/>
          </w:rPr>
          <m:t xml:space="preserve">n</m:t>
        </m:r>
      </m:oMath>
      <w:r>
        <w:t xml:space="preserve"> programs with launch indicators </w:t>
      </w:r>
      <m:oMath>
        <m:sSub>
          <m:e>
            <m:r>
              <m:rPr>
                <m:sty m:val="i"/>
              </m:rPr>
              <w:rPr>
                <w:rFonts w:ascii="Cambria Math" w:hAnsi="Cambria Math"/>
                <w:sz w:val="24"/>
              </w:rPr>
              <m:t xml:space="preserve">I</m:t>
            </m:r>
          </m:e>
          <m:sub>
            <m:r>
              <m:rPr>
                <m:sty m:val="i"/>
              </m:rPr>
              <w:rPr>
                <w:rFonts w:ascii="Cambria Math" w:hAnsi="Cambria Math"/>
                <w:sz w:val="24"/>
              </w:rPr>
              <m:t xml:space="preserve">i</m:t>
            </m:r>
          </m:sub>
        </m:sSub>
      </m:oMath>
      <w:r>
        <w:t xml:space="preserve">, marginal launch probabilities </w:t>
      </w:r>
      <m:oMath>
        <m:sSub>
          <m:e>
            <m:r>
              <m:rPr>
                <m:sty m:val="i"/>
              </m:rPr>
              <w:rPr>
                <w:rFonts w:ascii="Cambria Math" w:hAnsi="Cambria Math"/>
                <w:sz w:val="24"/>
              </w:rPr>
              <m:t xml:space="preserve">p</m:t>
            </m:r>
          </m:e>
          <m:sub>
            <m:r>
              <m:rPr>
                <m:sty m:val="i"/>
              </m:rPr>
              <w:rPr>
                <w:rFonts w:ascii="Cambria Math" w:hAnsi="Cambria Math"/>
                <w:sz w:val="24"/>
              </w:rPr>
              <m:t xml:space="preserve">i</m:t>
            </m:r>
          </m:sub>
        </m:sSub>
      </m:oMath>
      <w:r>
        <w:t xml:space="preserve">, and total launches </w:t>
      </w:r>
      <m:oMath>
        <m:r>
          <m:rPr>
            <m:sty m:val="i"/>
          </m:rPr>
          <w:rPr>
            <w:rFonts w:ascii="Cambria Math" w:hAnsi="Cambria Math"/>
            <w:sz w:val="24"/>
          </w:rPr>
          <m:t xml:space="preserve">L = </m:t>
        </m:r>
        <m:nary>
          <m:naryPr>
            <m:chr m:val="∑"/>
            <m:limLoc m:val="subSup"/>
            <m:supHide m:val="1"/>
          </m:naryPr>
          <m:sub>
            <m:r>
              <m:rPr>
                <m:sty m:val="i"/>
              </m:rPr>
              <w:rPr>
                <w:rFonts w:ascii="Cambria Math" w:hAnsi="Cambria Math"/>
                <w:sz w:val="24"/>
              </w:rPr>
              <m:t xml:space="preserve">i</m:t>
            </m:r>
          </m:sub>
          <m:sup/>
          <m:e>
            <m:sSub>
              <m:e>
                <m:r>
                  <m:rPr>
                    <m:sty m:val="i"/>
                  </m:rPr>
                  <w:rPr>
                    <w:rFonts w:ascii="Cambria Math" w:hAnsi="Cambria Math"/>
                    <w:sz w:val="24"/>
                  </w:rPr>
                  <m:t xml:space="preserve">I</m:t>
                </m:r>
              </m:e>
              <m:sub>
                <m:r>
                  <m:rPr>
                    <m:sty m:val="i"/>
                  </m:rPr>
                  <w:rPr>
                    <w:rFonts w:ascii="Cambria Math" w:hAnsi="Cambria Math"/>
                    <w:sz w:val="24"/>
                  </w:rPr>
                  <m:t xml:space="preserve">i</m:t>
                </m:r>
              </m:sub>
            </m:sSub>
          </m:e>
        </m:nary>
      </m:oMath>
      <w:r>
        <w:t>, effective breadth was</w:t>
      </w:r>
    </w:p>
    <w:p>
      <w:pPr>
        <w:keepNext/>
        <w:keepLines/>
        <w:widowControl/>
        <w:spacing w:line="480" w:lineRule="auto" w:before="120" w:after="160"/>
        <w:jc w:val="center"/>
      </w:pPr>
      <m:oMath>
        <m:sSub>
          <m:e>
            <m:r>
              <m:rPr>
                <m:sty m:val="i"/>
              </m:rPr>
              <w:rPr>
                <w:rFonts w:ascii="Cambria Math" w:hAnsi="Cambria Math"/>
                <w:sz w:val="24"/>
              </w:rPr>
              <m:t xml:space="preserve">n</m:t>
            </m:r>
          </m:e>
          <m:sub>
            <m:r>
              <m:rPr>
                <m:nor m:val="1"/>
                <m:sty m:val="p"/>
              </m:rPr>
              <w:rPr>
                <w:rFonts w:ascii="Cambria Math" w:hAnsi="Cambria Math"/>
                <w:sz w:val="24"/>
              </w:rPr>
              <m:t xml:space="preserve">eff</m:t>
            </m:r>
          </m:sub>
        </m:sSub>
        <m:r>
          <m:rPr>
            <m:sty m:val="i"/>
          </m:rPr>
          <w:rPr>
            <w:rFonts w:ascii="Cambria Math" w:hAnsi="Cambria Math"/>
            <w:sz w:val="24"/>
          </w:rPr>
          <m:t xml:space="preserve"> = </m:t>
        </m:r>
        <m:f>
          <m:num>
            <m:r>
              <m:rPr>
                <m:nor m:val="1"/>
                <m:sty m:val="p"/>
              </m:rPr>
              <w:rPr>
                <w:rFonts w:ascii="Cambria Math" w:hAnsi="Cambria Math"/>
                <w:sz w:val="24"/>
              </w:rPr>
              <m:t xml:space="preserve">mean</m:t>
            </m:r>
            <m:r>
              <m:rPr>
                <m:sty m:val="i"/>
              </m:rPr>
              <w:rPr>
                <w:rFonts w:ascii="Cambria Math" w:hAnsi="Cambria Math"/>
                <w:sz w:val="24"/>
              </w:rPr>
              <m:t xml:space="preserve">[</m:t>
            </m:r>
            <m:sSub>
              <m:e>
                <m:r>
                  <m:rPr>
                    <m:sty m:val="i"/>
                  </m:rPr>
                  <w:rPr>
                    <w:rFonts w:ascii="Cambria Math" w:hAnsi="Cambria Math"/>
                    <w:sz w:val="24"/>
                  </w:rPr>
                  <m:t xml:space="preserve">p</m:t>
                </m:r>
              </m:e>
              <m:sub>
                <m:r>
                  <m:rPr>
                    <m:sty m:val="i"/>
                  </m:rPr>
                  <w:rPr>
                    <w:rFonts w:ascii="Cambria Math" w:hAnsi="Cambria Math"/>
                    <w:sz w:val="24"/>
                  </w:rPr>
                  <m:t xml:space="preserve">i</m:t>
                </m:r>
              </m:sub>
            </m:sSub>
            <m:r>
              <m:rPr>
                <m:sty m:val="i"/>
              </m:rPr>
              <w:rPr>
                <w:rFonts w:ascii="Cambria Math" w:hAnsi="Cambria Math"/>
                <w:sz w:val="24"/>
              </w:rPr>
              <m:t xml:space="preserve">(1 − </m:t>
            </m:r>
            <m:sSub>
              <m:e>
                <m:r>
                  <m:rPr>
                    <m:sty m:val="i"/>
                  </m:rPr>
                  <w:rPr>
                    <w:rFonts w:ascii="Cambria Math" w:hAnsi="Cambria Math"/>
                    <w:sz w:val="24"/>
                  </w:rPr>
                  <m:t xml:space="preserve">p</m:t>
                </m:r>
              </m:e>
              <m:sub>
                <m:r>
                  <m:rPr>
                    <m:sty m:val="i"/>
                  </m:rPr>
                  <w:rPr>
                    <w:rFonts w:ascii="Cambria Math" w:hAnsi="Cambria Math"/>
                    <w:sz w:val="24"/>
                  </w:rPr>
                  <m:t xml:space="preserve">i</m:t>
                </m:r>
              </m:sub>
            </m:sSub>
            <m:r>
              <m:rPr>
                <m:sty m:val="i"/>
              </m:rPr>
              <w:rPr>
                <w:rFonts w:ascii="Cambria Math" w:hAnsi="Cambria Math"/>
                <w:sz w:val="24"/>
              </w:rPr>
              <m:t xml:space="preserve">)]</m:t>
            </m:r>
          </m:num>
          <m:den>
            <m:r>
              <m:rPr>
                <m:nor m:val="1"/>
                <m:sty m:val="p"/>
              </m:rPr>
              <w:rPr>
                <w:rFonts w:ascii="Cambria Math" w:hAnsi="Cambria Math"/>
                <w:sz w:val="24"/>
              </w:rPr>
              <m:t xml:space="preserve">Var</m:t>
            </m:r>
            <m:r>
              <m:rPr>
                <m:sty m:val="i"/>
              </m:rPr>
              <w:rPr>
                <w:rFonts w:ascii="Cambria Math" w:hAnsi="Cambria Math"/>
                <w:sz w:val="24"/>
              </w:rPr>
              <m:t xml:space="preserve">(L/n)</m:t>
            </m:r>
          </m:den>
        </m:f>
      </m:oMath>
      <w:r>
        <w:t xml:space="preserve">     (S3)</w:t>
      </w:r>
    </w:p>
    <w:p>
      <w:pPr>
        <w:keepNext/>
        <w:widowControl/>
        <w:spacing w:line="480" w:lineRule="auto"/>
      </w:pPr>
      <w:r>
        <w:t>Equivalently,</w:t>
      </w:r>
    </w:p>
    <w:p>
      <w:pPr>
        <w:keepNext/>
        <w:keepLines/>
        <w:widowControl/>
        <w:spacing w:line="480" w:lineRule="auto" w:before="120" w:after="160"/>
        <w:jc w:val="center"/>
      </w:pPr>
      <m:oMath>
        <m:sSub>
          <m:e>
            <m:r>
              <m:rPr>
                <m:sty m:val="i"/>
              </m:rPr>
              <w:rPr>
                <w:rFonts w:ascii="Cambria Math" w:hAnsi="Cambria Math"/>
                <w:sz w:val="24"/>
              </w:rPr>
              <m:t xml:space="preserve">n</m:t>
            </m:r>
          </m:e>
          <m:sub>
            <m:r>
              <m:rPr>
                <m:nor m:val="1"/>
                <m:sty m:val="p"/>
              </m:rPr>
              <w:rPr>
                <w:rFonts w:ascii="Cambria Math" w:hAnsi="Cambria Math"/>
                <w:sz w:val="24"/>
              </w:rPr>
              <m:t xml:space="preserve">eff</m:t>
            </m:r>
          </m:sub>
        </m:sSub>
        <m:r>
          <m:rPr>
            <m:sty m:val="i"/>
          </m:rPr>
          <w:rPr>
            <w:rFonts w:ascii="Cambria Math" w:hAnsi="Cambria Math"/>
            <w:sz w:val="24"/>
          </w:rPr>
          <m:t xml:space="preserve"> = </m:t>
        </m:r>
        <m:f>
          <m:num>
            <m:sSup>
              <m:e>
                <m:r>
                  <m:rPr>
                    <m:sty m:val="i"/>
                  </m:rPr>
                  <w:rPr>
                    <w:rFonts w:ascii="Cambria Math" w:hAnsi="Cambria Math"/>
                    <w:sz w:val="24"/>
                  </w:rPr>
                  <m:t xml:space="preserve">n</m:t>
                </m:r>
              </m:e>
              <m:sup>
                <m:r>
                  <m:rPr>
                    <m:sty m:val="i"/>
                  </m:rPr>
                  <w:rPr>
                    <w:rFonts w:ascii="Cambria Math" w:hAnsi="Cambria Math"/>
                    <w:sz w:val="24"/>
                  </w:rPr>
                  <m:t xml:space="preserve">2</m:t>
                </m:r>
              </m:sup>
            </m:sSup>
            <m:r>
              <m:rPr>
                <m:nor m:val="1"/>
                <m:sty m:val="p"/>
              </m:rPr>
              <w:rPr>
                <w:rFonts w:ascii="Cambria Math" w:hAnsi="Cambria Math"/>
                <w:sz w:val="24"/>
              </w:rPr>
              <m:t xml:space="preserve">mean</m:t>
            </m:r>
            <m:r>
              <m:rPr>
                <m:sty m:val="i"/>
              </m:rPr>
              <w:rPr>
                <w:rFonts w:ascii="Cambria Math" w:hAnsi="Cambria Math"/>
                <w:sz w:val="24"/>
              </w:rPr>
              <m:t xml:space="preserve">[</m:t>
            </m:r>
            <m:sSub>
              <m:e>
                <m:r>
                  <m:rPr>
                    <m:sty m:val="i"/>
                  </m:rPr>
                  <w:rPr>
                    <w:rFonts w:ascii="Cambria Math" w:hAnsi="Cambria Math"/>
                    <w:sz w:val="24"/>
                  </w:rPr>
                  <m:t xml:space="preserve">p</m:t>
                </m:r>
              </m:e>
              <m:sub>
                <m:r>
                  <m:rPr>
                    <m:sty m:val="i"/>
                  </m:rPr>
                  <w:rPr>
                    <w:rFonts w:ascii="Cambria Math" w:hAnsi="Cambria Math"/>
                    <w:sz w:val="24"/>
                  </w:rPr>
                  <m:t xml:space="preserve">i</m:t>
                </m:r>
              </m:sub>
            </m:sSub>
            <m:r>
              <m:rPr>
                <m:sty m:val="i"/>
              </m:rPr>
              <w:rPr>
                <w:rFonts w:ascii="Cambria Math" w:hAnsi="Cambria Math"/>
                <w:sz w:val="24"/>
              </w:rPr>
              <m:t xml:space="preserve">(1 − </m:t>
            </m:r>
            <m:sSub>
              <m:e>
                <m:r>
                  <m:rPr>
                    <m:sty m:val="i"/>
                  </m:rPr>
                  <w:rPr>
                    <w:rFonts w:ascii="Cambria Math" w:hAnsi="Cambria Math"/>
                    <w:sz w:val="24"/>
                  </w:rPr>
                  <m:t xml:space="preserve">p</m:t>
                </m:r>
              </m:e>
              <m:sub>
                <m:r>
                  <m:rPr>
                    <m:sty m:val="i"/>
                  </m:rPr>
                  <w:rPr>
                    <w:rFonts w:ascii="Cambria Math" w:hAnsi="Cambria Math"/>
                    <w:sz w:val="24"/>
                  </w:rPr>
                  <m:t xml:space="preserve">i</m:t>
                </m:r>
              </m:sub>
            </m:sSub>
            <m:r>
              <m:rPr>
                <m:sty m:val="i"/>
              </m:rPr>
              <w:rPr>
                <w:rFonts w:ascii="Cambria Math" w:hAnsi="Cambria Math"/>
                <w:sz w:val="24"/>
              </w:rPr>
              <m:t xml:space="preserve">)]</m:t>
            </m:r>
          </m:num>
          <m:den>
            <m:r>
              <m:rPr>
                <m:nor m:val="1"/>
                <m:sty m:val="p"/>
              </m:rPr>
              <w:rPr>
                <w:rFonts w:ascii="Cambria Math" w:hAnsi="Cambria Math"/>
                <w:sz w:val="24"/>
              </w:rPr>
              <m:t xml:space="preserve">Var</m:t>
            </m:r>
            <m:r>
              <m:rPr>
                <m:sty m:val="i"/>
              </m:rPr>
              <w:rPr>
                <w:rFonts w:ascii="Cambria Math" w:hAnsi="Cambria Math"/>
                <w:sz w:val="24"/>
              </w:rPr>
              <m:t xml:space="preserve">(L)</m:t>
            </m:r>
          </m:den>
        </m:f>
      </m:oMath>
      <w:r>
        <w:t xml:space="preserve">     (S4)</w:t>
      </w:r>
    </w:p>
    <w:p>
      <w:pPr>
        <w:keepNext/>
        <w:widowControl/>
        <w:spacing w:line="480" w:lineRule="auto"/>
      </w:pPr>
      <w:r>
        <w:t>For identical programs, it is the independent program count that gives the same variance in launch proportion. With a common binary launch correlation r, this reduces to</w:t>
      </w:r>
    </w:p>
    <w:p>
      <w:pPr>
        <w:keepNext/>
        <w:keepLines/>
        <w:widowControl/>
        <w:spacing w:line="480" w:lineRule="auto" w:before="120" w:after="160"/>
        <w:jc w:val="center"/>
      </w:pPr>
      <m:oMath>
        <m:f>
          <m:num>
            <m:r>
              <m:rPr>
                <m:sty m:val="i"/>
              </m:rPr>
              <w:rPr>
                <w:rFonts w:ascii="Cambria Math" w:hAnsi="Cambria Math"/>
                <w:sz w:val="24"/>
              </w:rPr>
              <m:t xml:space="preserve">n</m:t>
            </m:r>
          </m:num>
          <m:den>
            <m:r>
              <m:rPr>
                <m:sty m:val="i"/>
              </m:rPr>
              <w:rPr>
                <w:rFonts w:ascii="Cambria Math" w:hAnsi="Cambria Math"/>
                <w:sz w:val="24"/>
              </w:rPr>
              <m:t xml:space="preserve">1 + (n − 1)r</m:t>
            </m:r>
          </m:den>
        </m:f>
      </m:oMath>
      <w:r>
        <w:t xml:space="preserve">     (S5)</w:t>
      </w:r>
    </w:p>
    <w:p>
      <w:pPr>
        <w:widowControl/>
        <w:spacing w:line="480" w:lineRule="auto"/>
      </w:pPr>
      <w:r>
        <w:t>The binary correlation r is distinct from the latent Gaussian parameter ρ.</w:t>
      </w:r>
    </w:p>
    <w:p>
      <w:pPr>
        <w:keepNext/>
        <w:widowControl/>
        <w:spacing w:line="480" w:lineRule="auto"/>
      </w:pPr>
      <w:r>
        <w:t>For each simulated cash-flow path, minimum cash was the minimum over time of starting cash plus cumulative enterprise cash flow. Additional funding need was</w:t>
      </w:r>
    </w:p>
    <w:p>
      <w:pPr>
        <w:keepNext/>
        <w:keepLines/>
        <w:widowControl/>
        <w:spacing w:line="480" w:lineRule="auto" w:before="120" w:after="160"/>
        <w:jc w:val="center"/>
      </w:pPr>
      <m:oMath>
        <m:r>
          <m:rPr>
            <m:nor m:val="1"/>
            <m:sty m:val="p"/>
          </m:rPr>
          <w:rPr>
            <w:rFonts w:ascii="Cambria Math" w:hAnsi="Cambria Math"/>
            <w:sz w:val="24"/>
          </w:rPr>
          <m:t xml:space="preserve">max</m:t>
        </m:r>
        <m:r>
          <m:rPr>
            <m:sty m:val="i"/>
          </m:rPr>
          <w:rPr>
            <w:rFonts w:ascii="Cambria Math" w:hAnsi="Cambria Math"/>
            <w:sz w:val="24"/>
          </w:rPr>
          <m:t xml:space="preserve">(</m:t>
        </m:r>
        <m:r>
          <m:rPr>
            <m:nor m:val="1"/>
            <m:sty m:val="p"/>
          </m:rPr>
          <w:rPr>
            <w:rFonts w:ascii="Cambria Math" w:hAnsi="Cambria Math"/>
            <w:sz w:val="24"/>
          </w:rPr>
          <m:t xml:space="preserve">required reserve</m:t>
        </m:r>
        <m:r>
          <m:rPr>
            <m:sty m:val="i"/>
          </m:rPr>
          <w:rPr>
            <w:rFonts w:ascii="Cambria Math" w:hAnsi="Cambria Math"/>
            <w:sz w:val="24"/>
          </w:rPr>
          <m:t xml:space="preserve"> − </m:t>
        </m:r>
        <m:r>
          <m:rPr>
            <m:nor m:val="1"/>
            <m:sty m:val="p"/>
          </m:rPr>
          <w:rPr>
            <w:rFonts w:ascii="Cambria Math" w:hAnsi="Cambria Math"/>
            <w:sz w:val="24"/>
          </w:rPr>
          <m:t xml:space="preserve">minimum cash</m:t>
        </m:r>
        <m:r>
          <m:rPr>
            <m:sty m:val="i"/>
          </m:rPr>
          <w:rPr>
            <w:rFonts w:ascii="Cambria Math" w:hAnsi="Cambria Math"/>
            <w:sz w:val="24"/>
          </w:rPr>
          <m:t xml:space="preserve">, 0)</m:t>
        </m:r>
      </m:oMath>
      <w:r>
        <w:t xml:space="preserve">     (S6)</w:t>
      </w:r>
    </w:p>
    <w:p>
      <w:pPr>
        <w:widowControl/>
        <w:spacing w:line="480" w:lineRule="auto"/>
      </w:pPr>
      <w:r>
        <w:t>Capacity was breached when this need exceeded available financing. The base profile combined $2 billion starting cash, $1 billion financing, and a $0.5 billion reserve; the high profile used $4 billion, $3 billion, and $0.5 billion. Funding headroom was therefore $2.5 billion and $6.5 billion, respectively.</w:t>
      </w:r>
    </w:p>
    <w:p>
      <w:pPr>
        <w:pStyle w:val="Heading2"/>
        <w:keepNext/>
        <w:widowControl/>
        <w:spacing w:line="480" w:lineRule="auto"/>
      </w:pPr>
      <w:r>
        <w:rPr>
          <w:rFonts w:ascii="Times New Roman" w:hAnsi="Times New Roman"/>
          <w:color w:val="000000"/>
          <w:sz w:val="24"/>
        </w:rPr>
        <w:t>Sampling and Comparison Details</w:t>
      </w:r>
    </w:p>
    <w:p>
      <w:pPr>
        <w:keepNext w:val="0"/>
        <w:widowControl/>
        <w:spacing w:line="480" w:lineRule="auto"/>
      </w:pPr>
      <w:r>
        <w:t>A 24-dimensional Latin hypercube supplied four ranks for each of six programs: cumulative pTRS, cost multiplier, peak-sales multiplier, and duration. The duration rank was shared across the three phases within a program; Phase 2 duration was asymmetric, while Phase 3 and regulatory durations were symmetric. A common log-odds shift to the benchmark phase probabilities was solved separately for each program so that their product matched its sampled cumulative pTRS. The program permutation was fixed across strategies. The Latin hypercube and permutation seeds were 2026083001 and 2026083002.</w:t>
      </w:r>
    </w:p>
    <w:p>
      <w:pPr>
        <w:keepNext/>
        <w:widowControl/>
        <w:spacing w:line="480" w:lineRule="auto"/>
      </w:pPr>
      <w:r>
        <w:t>Spearman associations with required R&amp;D saving were calculated among opportunity sets with feasible frontiers. Mean pTRS had correlations of approximately -0.13 for PIAP and -0.14 for MSOG. The stronger values of -0.40 and -0.42 belonged to the composite index</w:t>
      </w:r>
    </w:p>
    <w:p>
      <w:pPr>
        <w:keepNext/>
        <w:keepLines/>
        <w:widowControl/>
        <w:spacing w:line="288" w:lineRule="auto" w:before="120" w:after="160"/>
        <w:jc w:val="center"/>
      </w:pPr>
      <m:oMath>
        <m:r>
          <m:rPr>
            <m:nor m:val="1"/>
            <m:sty m:val="p"/>
          </m:rPr>
          <w:rPr>
            <w:rFonts w:ascii="Cambria Math" w:hAnsi="Cambria Math"/>
            <w:sz w:val="24"/>
          </w:rPr>
          <m:t xml:space="preserve">mean</m:t>
        </m:r>
        <m:r>
          <m:rPr>
            <m:sty m:val="i"/>
          </m:rPr>
          <w:rPr>
            <w:rFonts w:ascii="Cambria Math" w:hAnsi="Cambria Math"/>
            <w:sz w:val="24"/>
          </w:rPr>
          <m:t xml:space="preserve">[</m:t>
        </m:r>
        <m:f>
          <m:num>
            <m:r>
              <m:rPr>
                <m:nor m:val="1"/>
                <m:sty m:val="p"/>
              </m:rPr>
              <w:rPr>
                <w:rFonts w:ascii="Cambria Math" w:hAnsi="Cambria Math"/>
                <w:sz w:val="24"/>
              </w:rPr>
              <m:t xml:space="preserve">pTRS</m:t>
            </m:r>
            <m:r>
              <m:rPr>
                <m:sty m:val="i"/>
              </m:rPr>
              <w:rPr>
                <w:rFonts w:ascii="Cambria Math" w:hAnsi="Cambria Math"/>
                <w:sz w:val="24"/>
              </w:rPr>
              <m:t xml:space="preserve"> × </m:t>
            </m:r>
            <m:r>
              <m:rPr>
                <m:nor m:val="1"/>
                <m:sty m:val="p"/>
              </m:rPr>
              <w:rPr>
                <w:rFonts w:ascii="Cambria Math" w:hAnsi="Cambria Math"/>
                <w:sz w:val="24"/>
              </w:rPr>
              <m:t xml:space="preserve">peak-sales multiplier</m:t>
            </m:r>
          </m:num>
          <m:den>
            <m:r>
              <m:rPr>
                <m:nor m:val="1"/>
                <m:sty m:val="p"/>
              </m:rPr>
              <w:rPr>
                <w:rFonts w:ascii="Cambria Math" w:hAnsi="Cambria Math"/>
                <w:sz w:val="24"/>
              </w:rPr>
              <m:t xml:space="preserve">development-cost multiplier</m:t>
            </m:r>
          </m:den>
        </m:f>
        <m:r>
          <m:rPr>
            <m:sty m:val="i"/>
          </m:rPr>
          <w:rPr>
            <w:rFonts w:ascii="Cambria Math" w:hAnsi="Cambria Math"/>
            <w:sz w:val="24"/>
          </w:rPr>
          <m:t xml:space="preserve">].</m:t>
        </m:r>
      </m:oMath>
    </w:p>
    <w:p>
      <w:pPr>
        <w:keepNext w:val="0"/>
        <w:widowControl/>
        <w:spacing w:line="480" w:lineRule="auto"/>
      </w:pPr>
      <w:r>
        <w:t>In the regret experiment, the assumed model selected concentration only when its expected NPV advantage exceeded $25 million. That switching hurdle did not apply to the economic frontier, which required eNPV at least equal to diversification. eNPV regret compared the selected strategy with the strategy maximizing eNPV under the specified dependence and cannibalization. The reported P5 shortfall and additional breach probability compared concentration with diversification. Their maxima and the maximum eNPV regret arose in different fixed-benchmark scenarios. Heterogeneous and fixed-benchmark maxima were reported separately.</w:t>
      </w:r>
    </w:p>
    <w:p>
      <w:pPr>
        <w:pStyle w:val="Heading2"/>
        <w:keepNext/>
        <w:widowControl/>
        <w:spacing w:line="480" w:lineRule="auto"/>
      </w:pPr>
      <w:r>
        <w:rPr>
          <w:rFonts w:ascii="Times New Roman" w:hAnsi="Times New Roman"/>
          <w:color w:val="000000"/>
          <w:sz w:val="24"/>
        </w:rPr>
        <w:t>Reproducibility Record</w:t>
      </w:r>
    </w:p>
    <w:p>
      <w:pPr>
        <w:keepNext w:val="0"/>
        <w:widowControl/>
        <w:spacing w:line="480" w:lineRule="auto"/>
      </w:pPr>
      <w:r>
        <w:t>The archived release is identified by DOI 10.5281/zenodo.22649794. Model configuration and calculations are in config/benchmark_v0.2.yaml, config/e8_plan_v0.3.yaml, prism_sim/policy.py, prism_sim/heterogeneity.py, prism_sim/advanced.py, and scripts/run_e4_e7.py and run_e8.py. Table S1 records the archived numerical checks. The archived correction package supplies the tie-aware CVaR implementation and regenerated affected values. The correction package is included in the archived release.</w:t>
      </w:r>
    </w:p>
    <w:p>
      <w:pPr>
        <w:widowControl/>
      </w:pPr>
      <w:r>
        <w:br w:type="page"/>
      </w:r>
    </w:p>
    <w:p>
      <w:pPr>
        <w:keepNext/>
        <w:widowControl/>
        <w:spacing w:line="480" w:lineRule="auto"/>
      </w:pPr>
      <w:r>
        <w:rPr>
          <w:b/>
        </w:rPr>
        <w:t>Table S1. Numerical and reproducibility checks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tblHeader w:val="true"/>
        </w:trPr>
        <w:tc>
          <w:tcPr>
            <w:tcW w:type="dxa" w:w="2340"/>
            <w:vAlign w:val="center"/>
          </w:tcPr>
          <w:p>
            <w:pPr>
              <w:spacing w:line="480" w:lineRule="auto" w:after="0"/>
            </w:pPr>
            <w:r>
              <w:rPr>
                <w:rFonts w:ascii="Times New Roman" w:hAnsi="Times New Roman"/>
                <w:b/>
                <w:sz w:val="20"/>
              </w:rPr>
              <w:t>Check</w:t>
            </w:r>
          </w:p>
        </w:tc>
        <w:tc>
          <w:tcPr>
            <w:tcW w:type="dxa" w:w="2340"/>
            <w:vAlign w:val="center"/>
          </w:tcPr>
          <w:p>
            <w:pPr>
              <w:spacing w:line="480" w:lineRule="auto" w:after="0"/>
            </w:pPr>
            <w:r>
              <w:rPr>
                <w:rFonts w:ascii="Times New Roman" w:hAnsi="Times New Roman"/>
                <w:b/>
                <w:sz w:val="20"/>
              </w:rPr>
              <w:t>Observed</w:t>
            </w:r>
          </w:p>
        </w:tc>
        <w:tc>
          <w:tcPr>
            <w:tcW w:type="dxa" w:w="2340"/>
            <w:vAlign w:val="center"/>
          </w:tcPr>
          <w:p>
            <w:pPr>
              <w:spacing w:line="480" w:lineRule="auto" w:after="0"/>
            </w:pPr>
            <w:r>
              <w:rPr>
                <w:rFonts w:ascii="Times New Roman" w:hAnsi="Times New Roman"/>
                <w:b/>
                <w:sz w:val="20"/>
              </w:rPr>
              <w:t>Criterion</w:t>
            </w:r>
          </w:p>
        </w:tc>
        <w:tc>
          <w:tcPr>
            <w:tcW w:type="dxa" w:w="2340"/>
            <w:vAlign w:val="center"/>
          </w:tcPr>
          <w:p>
            <w:pPr>
              <w:spacing w:line="480" w:lineRule="auto" w:after="0"/>
            </w:pPr>
            <w:r>
              <w:rPr>
                <w:rFonts w:ascii="Times New Roman" w:hAnsi="Times New Roman"/>
                <w:b/>
                <w:sz w:val="20"/>
              </w:rPr>
              <w:t>Status</w:t>
            </w:r>
          </w:p>
        </w:tc>
      </w:tr>
      <w:tr>
        <w:trPr>
          <w:cantSplit/>
        </w:trPr>
        <w:tc>
          <w:tcPr>
            <w:tcW w:type="dxa" w:w="2340"/>
            <w:vAlign w:val="center"/>
          </w:tcPr>
          <w:p>
            <w:pPr>
              <w:spacing w:line="480" w:lineRule="auto"/>
            </w:pPr>
            <w:r>
              <w:rPr>
                <w:rFonts w:ascii="Times New Roman" w:hAnsi="Times New Roman"/>
                <w:sz w:val="20"/>
              </w:rPr>
              <w:t>Archived unit tests</w:t>
            </w:r>
          </w:p>
        </w:tc>
        <w:tc>
          <w:tcPr>
            <w:tcW w:type="dxa" w:w="2340"/>
            <w:vAlign w:val="center"/>
          </w:tcPr>
          <w:p>
            <w:pPr>
              <w:spacing w:line="480" w:lineRule="auto" w:after="0"/>
            </w:pPr>
            <w:r>
              <w:rPr>
                <w:rFonts w:ascii="Times New Roman" w:hAnsi="Times New Roman"/>
                <w:b w:val="0"/>
                <w:sz w:val="20"/>
              </w:rPr>
              <w:t>18 passed</w:t>
            </w:r>
          </w:p>
        </w:tc>
        <w:tc>
          <w:tcPr>
            <w:tcW w:type="dxa" w:w="2340"/>
            <w:vAlign w:val="center"/>
          </w:tcPr>
          <w:p>
            <w:pPr>
              <w:spacing w:line="480" w:lineRule="auto" w:after="0"/>
            </w:pPr>
            <w:r>
              <w:rPr>
                <w:rFonts w:ascii="Times New Roman" w:hAnsi="Times New Roman"/>
                <w:b w:val="0"/>
                <w:sz w:val="20"/>
              </w:rPr>
              <w:t>All pass</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E8 exact-to-MC eNPV coverage</w:t>
            </w:r>
          </w:p>
        </w:tc>
        <w:tc>
          <w:tcPr>
            <w:tcW w:type="dxa" w:w="2340"/>
            <w:vAlign w:val="center"/>
          </w:tcPr>
          <w:p>
            <w:pPr>
              <w:spacing w:line="480" w:lineRule="auto" w:after="0"/>
            </w:pPr>
            <w:r>
              <w:rPr>
                <w:rFonts w:ascii="Times New Roman" w:hAnsi="Times New Roman"/>
                <w:b w:val="0"/>
                <w:sz w:val="20"/>
              </w:rPr>
              <w:t>75%</w:t>
            </w:r>
          </w:p>
        </w:tc>
        <w:tc>
          <w:tcPr>
            <w:tcW w:type="dxa" w:w="2340"/>
            <w:vAlign w:val="center"/>
          </w:tcPr>
          <w:p>
            <w:pPr>
              <w:spacing w:line="480" w:lineRule="auto" w:after="0"/>
            </w:pPr>
            <w:r>
              <w:rPr>
                <w:rFonts w:ascii="Times New Roman" w:hAnsi="Times New Roman"/>
                <w:b w:val="0"/>
                <w:sz w:val="20"/>
              </w:rPr>
              <w:t>&gt;=75%</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E8 exact-to-MC breach coverage</w:t>
            </w:r>
          </w:p>
        </w:tc>
        <w:tc>
          <w:tcPr>
            <w:tcW w:type="dxa" w:w="2340"/>
            <w:vAlign w:val="center"/>
          </w:tcPr>
          <w:p>
            <w:pPr>
              <w:spacing w:line="480" w:lineRule="auto" w:after="0"/>
            </w:pPr>
            <w:r>
              <w:rPr>
                <w:rFonts w:ascii="Times New Roman" w:hAnsi="Times New Roman"/>
                <w:b w:val="0"/>
                <w:sz w:val="20"/>
              </w:rPr>
              <w:t>75%</w:t>
            </w:r>
          </w:p>
        </w:tc>
        <w:tc>
          <w:tcPr>
            <w:tcW w:type="dxa" w:w="2340"/>
            <w:vAlign w:val="center"/>
          </w:tcPr>
          <w:p>
            <w:pPr>
              <w:spacing w:line="480" w:lineRule="auto" w:after="0"/>
            </w:pPr>
            <w:r>
              <w:rPr>
                <w:rFonts w:ascii="Times New Roman" w:hAnsi="Times New Roman"/>
                <w:b w:val="0"/>
                <w:sz w:val="20"/>
              </w:rPr>
              <w:t>&gt;=75%</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Maximum eNPV half-width</w:t>
            </w:r>
          </w:p>
        </w:tc>
        <w:tc>
          <w:tcPr>
            <w:tcW w:type="dxa" w:w="2340"/>
            <w:vAlign w:val="center"/>
          </w:tcPr>
          <w:p>
            <w:pPr>
              <w:spacing w:line="480" w:lineRule="auto" w:after="0"/>
            </w:pPr>
            <w:r>
              <w:rPr>
                <w:rFonts w:ascii="Times New Roman" w:hAnsi="Times New Roman"/>
                <w:b w:val="0"/>
                <w:sz w:val="20"/>
              </w:rPr>
              <w:t>$6.90M</w:t>
            </w:r>
          </w:p>
        </w:tc>
        <w:tc>
          <w:tcPr>
            <w:tcW w:type="dxa" w:w="2340"/>
            <w:vAlign w:val="center"/>
          </w:tcPr>
          <w:p>
            <w:pPr>
              <w:spacing w:line="480" w:lineRule="auto" w:after="0"/>
            </w:pPr>
            <w:r>
              <w:rPr>
                <w:rFonts w:ascii="Times New Roman" w:hAnsi="Times New Roman"/>
                <w:b w:val="0"/>
                <w:sz w:val="20"/>
              </w:rPr>
              <w:t>&lt;=$25M</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Maximum breach half-width</w:t>
            </w:r>
          </w:p>
        </w:tc>
        <w:tc>
          <w:tcPr>
            <w:tcW w:type="dxa" w:w="2340"/>
            <w:vAlign w:val="center"/>
          </w:tcPr>
          <w:p>
            <w:pPr>
              <w:spacing w:line="480" w:lineRule="auto" w:after="0"/>
            </w:pPr>
            <w:r>
              <w:rPr>
                <w:rFonts w:ascii="Times New Roman" w:hAnsi="Times New Roman"/>
                <w:b w:val="0"/>
                <w:sz w:val="20"/>
              </w:rPr>
              <w:t>0.082 pp</w:t>
            </w:r>
          </w:p>
        </w:tc>
        <w:tc>
          <w:tcPr>
            <w:tcW w:type="dxa" w:w="2340"/>
            <w:vAlign w:val="center"/>
          </w:tcPr>
          <w:p>
            <w:pPr>
              <w:spacing w:line="480" w:lineRule="auto" w:after="0"/>
            </w:pPr>
            <w:r>
              <w:rPr>
                <w:rFonts w:ascii="Times New Roman" w:hAnsi="Times New Roman"/>
                <w:b w:val="0"/>
                <w:sz w:val="20"/>
              </w:rPr>
              <w:t>&lt;=0.25 pp</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Flat diversified eNPV reconciliation</w:t>
            </w:r>
          </w:p>
        </w:tc>
        <w:tc>
          <w:tcPr>
            <w:tcW w:type="dxa" w:w="2340"/>
            <w:vAlign w:val="center"/>
          </w:tcPr>
          <w:p>
            <w:pPr>
              <w:spacing w:line="480" w:lineRule="auto" w:after="0"/>
            </w:pPr>
            <w:r>
              <w:rPr>
                <w:rFonts w:ascii="Times New Roman" w:hAnsi="Times New Roman"/>
                <w:b w:val="0"/>
                <w:sz w:val="20"/>
              </w:rPr>
              <w:t>$1.11M difference</w:t>
            </w:r>
          </w:p>
        </w:tc>
        <w:tc>
          <w:tcPr>
            <w:tcW w:type="dxa" w:w="2340"/>
            <w:vAlign w:val="center"/>
          </w:tcPr>
          <w:p>
            <w:pPr>
              <w:spacing w:line="480" w:lineRule="auto" w:after="0"/>
            </w:pPr>
            <w:r>
              <w:rPr>
                <w:rFonts w:ascii="Times New Roman" w:hAnsi="Times New Roman"/>
                <w:b w:val="0"/>
                <w:sz w:val="20"/>
              </w:rPr>
              <w:t>&lt;=$25M</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Flat PIAP eNPV reconciliation</w:t>
            </w:r>
          </w:p>
        </w:tc>
        <w:tc>
          <w:tcPr>
            <w:tcW w:type="dxa" w:w="2340"/>
            <w:vAlign w:val="center"/>
          </w:tcPr>
          <w:p>
            <w:pPr>
              <w:spacing w:line="480" w:lineRule="auto" w:after="0"/>
            </w:pPr>
            <w:r>
              <w:rPr>
                <w:rFonts w:ascii="Times New Roman" w:hAnsi="Times New Roman"/>
                <w:b w:val="0"/>
                <w:sz w:val="20"/>
              </w:rPr>
              <w:t>$0.74M difference</w:t>
            </w:r>
          </w:p>
        </w:tc>
        <w:tc>
          <w:tcPr>
            <w:tcW w:type="dxa" w:w="2340"/>
            <w:vAlign w:val="center"/>
          </w:tcPr>
          <w:p>
            <w:pPr>
              <w:spacing w:line="480" w:lineRule="auto" w:after="0"/>
            </w:pPr>
            <w:r>
              <w:rPr>
                <w:rFonts w:ascii="Times New Roman" w:hAnsi="Times New Roman"/>
                <w:b w:val="0"/>
                <w:sz w:val="20"/>
              </w:rPr>
              <w:t>&lt;=$25M</w:t>
            </w:r>
          </w:p>
        </w:tc>
        <w:tc>
          <w:tcPr>
            <w:tcW w:type="dxa" w:w="2340"/>
            <w:vAlign w:val="center"/>
          </w:tcPr>
          <w:p>
            <w:pPr>
              <w:spacing w:line="480" w:lineRule="auto" w:after="0"/>
            </w:pPr>
            <w:r>
              <w:rPr>
                <w:rFonts w:ascii="Times New Roman" w:hAnsi="Times New Roman"/>
                <w:b w:val="0"/>
                <w:sz w:val="20"/>
              </w:rPr>
              <w:t>Pass</w:t>
            </w:r>
          </w:p>
        </w:tc>
      </w:tr>
      <w:tr>
        <w:trPr>
          <w:cantSplit/>
        </w:trPr>
        <w:tc>
          <w:tcPr>
            <w:tcW w:type="dxa" w:w="2340"/>
            <w:vAlign w:val="center"/>
          </w:tcPr>
          <w:p>
            <w:pPr>
              <w:spacing w:line="480" w:lineRule="auto" w:after="0"/>
            </w:pPr>
            <w:r>
              <w:rPr>
                <w:rFonts w:ascii="Times New Roman" w:hAnsi="Times New Roman"/>
                <w:b w:val="0"/>
                <w:sz w:val="20"/>
              </w:rPr>
              <w:t>Flat PIAP breach reconciliation</w:t>
            </w:r>
          </w:p>
        </w:tc>
        <w:tc>
          <w:tcPr>
            <w:tcW w:type="dxa" w:w="2340"/>
            <w:vAlign w:val="center"/>
          </w:tcPr>
          <w:p>
            <w:pPr>
              <w:spacing w:line="480" w:lineRule="auto" w:after="0"/>
            </w:pPr>
            <w:r>
              <w:rPr>
                <w:rFonts w:ascii="Times New Roman" w:hAnsi="Times New Roman"/>
                <w:b w:val="0"/>
                <w:sz w:val="20"/>
              </w:rPr>
              <w:t>0.019 pp difference</w:t>
            </w:r>
          </w:p>
        </w:tc>
        <w:tc>
          <w:tcPr>
            <w:tcW w:type="dxa" w:w="2340"/>
            <w:vAlign w:val="center"/>
          </w:tcPr>
          <w:p>
            <w:pPr>
              <w:spacing w:line="480" w:lineRule="auto" w:after="0"/>
            </w:pPr>
            <w:r>
              <w:rPr>
                <w:rFonts w:ascii="Times New Roman" w:hAnsi="Times New Roman"/>
                <w:b w:val="0"/>
                <w:sz w:val="20"/>
              </w:rPr>
              <w:t>&lt;=0.50 pp</w:t>
            </w:r>
          </w:p>
        </w:tc>
        <w:tc>
          <w:tcPr>
            <w:tcW w:type="dxa" w:w="2340"/>
            <w:vAlign w:val="center"/>
          </w:tcPr>
          <w:p>
            <w:pPr>
              <w:spacing w:line="480" w:lineRule="auto" w:after="0"/>
            </w:pPr>
            <w:r>
              <w:rPr>
                <w:rFonts w:ascii="Times New Roman" w:hAnsi="Times New Roman"/>
                <w:b w:val="0"/>
                <w:sz w:val="20"/>
              </w:rPr>
              <w:t>Pass</w:t>
            </w:r>
          </w:p>
        </w:tc>
      </w:tr>
    </w:tbl>
    <w:p>
      <w:pPr>
        <w:widowControl/>
        <w:spacing w:line="480" w:lineRule="auto"/>
      </w:pPr>
      <w:r>
        <w:rPr>
          <w:sz w:val="18"/>
        </w:rPr>
        <w:t>Abbreviations: eNPV, expected net present value; MC, Monte Carlo; PIAP, pipeline in a pill; pp, percentage points.</w:t>
      </w:r>
    </w:p>
    <w:p>
      <w:pPr>
        <w:widowControl/>
      </w:pPr>
      <w:r>
        <w:br w:type="page"/>
      </w:r>
    </w:p>
    <w:p>
      <w:pPr>
        <w:keepNext/>
        <w:widowControl/>
        <w:spacing w:line="480" w:lineRule="auto"/>
      </w:pPr>
      <w:r>
        <w:rPr>
          <w:b/>
        </w:rPr>
        <w:t>Table S2. Matched-heterogeneity input distributions</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tblHeader w:val="true"/>
        </w:trPr>
        <w:tc>
          <w:tcPr>
            <w:tcW w:type="dxa" w:w="3120"/>
            <w:vAlign w:val="center"/>
          </w:tcPr>
          <w:p>
            <w:pPr>
              <w:spacing w:line="480" w:lineRule="auto" w:after="0"/>
            </w:pPr>
            <w:r>
              <w:rPr>
                <w:rFonts w:ascii="Times New Roman" w:hAnsi="Times New Roman"/>
                <w:b/>
                <w:sz w:val="20"/>
              </w:rPr>
              <w:t>Input</w:t>
            </w:r>
          </w:p>
        </w:tc>
        <w:tc>
          <w:tcPr>
            <w:tcW w:type="dxa" w:w="3120"/>
            <w:vAlign w:val="center"/>
          </w:tcPr>
          <w:p>
            <w:pPr>
              <w:spacing w:line="480" w:lineRule="auto" w:after="0"/>
            </w:pPr>
            <w:r>
              <w:rPr>
                <w:rFonts w:ascii="Times New Roman" w:hAnsi="Times New Roman"/>
                <w:b/>
                <w:sz w:val="20"/>
              </w:rPr>
              <w:t>Distribution or range</w:t>
            </w:r>
          </w:p>
        </w:tc>
        <w:tc>
          <w:tcPr>
            <w:tcW w:type="dxa" w:w="3120"/>
            <w:vAlign w:val="center"/>
          </w:tcPr>
          <w:p>
            <w:pPr>
              <w:spacing w:line="480" w:lineRule="auto" w:after="0"/>
            </w:pPr>
            <w:r>
              <w:rPr>
                <w:rFonts w:ascii="Times New Roman" w:hAnsi="Times New Roman"/>
                <w:b/>
                <w:sz w:val="20"/>
              </w:rPr>
              <w:t>Mode or central value</w:t>
            </w:r>
          </w:p>
        </w:tc>
      </w:tr>
      <w:tr>
        <w:trPr>
          <w:cantSplit/>
        </w:trPr>
        <w:tc>
          <w:tcPr>
            <w:tcW w:type="dxa" w:w="3120"/>
            <w:vAlign w:val="center"/>
          </w:tcPr>
          <w:p>
            <w:pPr>
              <w:spacing w:line="480" w:lineRule="auto" w:after="0"/>
            </w:pPr>
            <w:r>
              <w:rPr>
                <w:rFonts w:ascii="Times New Roman" w:hAnsi="Times New Roman"/>
                <w:b w:val="0"/>
                <w:sz w:val="20"/>
              </w:rPr>
              <w:t>Cumulative pTRS</w:t>
            </w:r>
          </w:p>
        </w:tc>
        <w:tc>
          <w:tcPr>
            <w:tcW w:type="dxa" w:w="3120"/>
            <w:vAlign w:val="center"/>
          </w:tcPr>
          <w:p>
            <w:pPr>
              <w:spacing w:line="480" w:lineRule="auto" w:after="0"/>
            </w:pPr>
            <w:r>
              <w:rPr>
                <w:rFonts w:ascii="Times New Roman" w:hAnsi="Times New Roman"/>
                <w:b w:val="0"/>
                <w:sz w:val="20"/>
              </w:rPr>
              <w:t>Triangular: 0.075-0.227</w:t>
            </w:r>
          </w:p>
        </w:tc>
        <w:tc>
          <w:tcPr>
            <w:tcW w:type="dxa" w:w="3120"/>
            <w:vAlign w:val="center"/>
          </w:tcPr>
          <w:p>
            <w:pPr>
              <w:spacing w:line="480" w:lineRule="auto" w:after="0"/>
            </w:pPr>
            <w:r>
              <w:rPr>
                <w:rFonts w:ascii="Times New Roman" w:hAnsi="Times New Roman"/>
                <w:b w:val="0"/>
                <w:sz w:val="20"/>
              </w:rPr>
              <w:t>0.151</w:t>
            </w:r>
          </w:p>
        </w:tc>
      </w:tr>
      <w:tr>
        <w:trPr>
          <w:cantSplit/>
        </w:trPr>
        <w:tc>
          <w:tcPr>
            <w:tcW w:type="dxa" w:w="3120"/>
            <w:vAlign w:val="center"/>
          </w:tcPr>
          <w:p>
            <w:pPr>
              <w:spacing w:line="480" w:lineRule="auto" w:after="0"/>
            </w:pPr>
            <w:r>
              <w:rPr>
                <w:rFonts w:ascii="Times New Roman" w:hAnsi="Times New Roman"/>
                <w:b w:val="0"/>
                <w:sz w:val="20"/>
              </w:rPr>
              <w:t>Development-cost multiplier</w:t>
            </w:r>
          </w:p>
        </w:tc>
        <w:tc>
          <w:tcPr>
            <w:tcW w:type="dxa" w:w="3120"/>
            <w:vAlign w:val="center"/>
          </w:tcPr>
          <w:p>
            <w:pPr>
              <w:spacing w:line="480" w:lineRule="auto" w:after="0"/>
            </w:pPr>
            <w:r>
              <w:rPr>
                <w:rFonts w:ascii="Times New Roman" w:hAnsi="Times New Roman"/>
                <w:b w:val="0"/>
                <w:sz w:val="20"/>
              </w:rPr>
              <w:t>Triangular: 0.70-1.30</w:t>
            </w:r>
          </w:p>
        </w:tc>
        <w:tc>
          <w:tcPr>
            <w:tcW w:type="dxa" w:w="3120"/>
            <w:vAlign w:val="center"/>
          </w:tcPr>
          <w:p>
            <w:pPr>
              <w:spacing w:line="480" w:lineRule="auto" w:after="0"/>
            </w:pPr>
            <w:r>
              <w:rPr>
                <w:rFonts w:ascii="Times New Roman" w:hAnsi="Times New Roman"/>
                <w:b w:val="0"/>
                <w:sz w:val="20"/>
              </w:rPr>
              <w:t>1.00</w:t>
            </w:r>
          </w:p>
        </w:tc>
      </w:tr>
      <w:tr>
        <w:trPr>
          <w:cantSplit/>
        </w:trPr>
        <w:tc>
          <w:tcPr>
            <w:tcW w:type="dxa" w:w="3120"/>
            <w:vAlign w:val="center"/>
          </w:tcPr>
          <w:p>
            <w:pPr>
              <w:spacing w:line="480" w:lineRule="auto" w:after="0"/>
            </w:pPr>
            <w:r>
              <w:rPr>
                <w:rFonts w:ascii="Times New Roman" w:hAnsi="Times New Roman"/>
                <w:b w:val="0"/>
                <w:sz w:val="20"/>
              </w:rPr>
              <w:t>Peak-sales multiplier</w:t>
            </w:r>
          </w:p>
        </w:tc>
        <w:tc>
          <w:tcPr>
            <w:tcW w:type="dxa" w:w="3120"/>
            <w:vAlign w:val="center"/>
          </w:tcPr>
          <w:p>
            <w:pPr>
              <w:spacing w:line="480" w:lineRule="auto" w:after="0"/>
            </w:pPr>
            <w:r>
              <w:rPr>
                <w:rFonts w:ascii="Times New Roman" w:hAnsi="Times New Roman"/>
                <w:b w:val="0"/>
                <w:sz w:val="20"/>
              </w:rPr>
              <w:t>Triangular: 0.50-1.50</w:t>
            </w:r>
          </w:p>
        </w:tc>
        <w:tc>
          <w:tcPr>
            <w:tcW w:type="dxa" w:w="3120"/>
            <w:vAlign w:val="center"/>
          </w:tcPr>
          <w:p>
            <w:pPr>
              <w:spacing w:line="480" w:lineRule="auto" w:after="0"/>
            </w:pPr>
            <w:r>
              <w:rPr>
                <w:rFonts w:ascii="Times New Roman" w:hAnsi="Times New Roman"/>
                <w:b w:val="0"/>
                <w:sz w:val="20"/>
              </w:rPr>
              <w:t>1.00</w:t>
            </w:r>
          </w:p>
        </w:tc>
      </w:tr>
      <w:tr>
        <w:trPr>
          <w:cantSplit/>
        </w:trPr>
        <w:tc>
          <w:tcPr>
            <w:tcW w:type="dxa" w:w="3120"/>
            <w:vAlign w:val="center"/>
          </w:tcPr>
          <w:p>
            <w:pPr>
              <w:spacing w:line="480" w:lineRule="auto" w:after="0"/>
            </w:pPr>
            <w:r>
              <w:rPr>
                <w:rFonts w:ascii="Times New Roman" w:hAnsi="Times New Roman"/>
                <w:b w:val="0"/>
                <w:sz w:val="20"/>
              </w:rPr>
              <w:t>Phase 2 duration</w:t>
            </w:r>
          </w:p>
        </w:tc>
        <w:tc>
          <w:tcPr>
            <w:tcW w:type="dxa" w:w="3120"/>
            <w:vAlign w:val="center"/>
          </w:tcPr>
          <w:p>
            <w:pPr>
              <w:spacing w:line="480" w:lineRule="auto"/>
            </w:pPr>
            <w:r>
              <w:rPr>
                <w:rFonts w:ascii="Times New Roman" w:hAnsi="Times New Roman"/>
                <w:sz w:val="20"/>
              </w:rPr>
              <w:t>Triangular: 1.5-3.0 years</w:t>
            </w:r>
          </w:p>
        </w:tc>
        <w:tc>
          <w:tcPr>
            <w:tcW w:type="dxa" w:w="3120"/>
            <w:vAlign w:val="center"/>
          </w:tcPr>
          <w:p>
            <w:pPr>
              <w:spacing w:line="480" w:lineRule="auto" w:after="0"/>
            </w:pPr>
            <w:r>
              <w:rPr>
                <w:rFonts w:ascii="Times New Roman" w:hAnsi="Times New Roman"/>
                <w:b w:val="0"/>
                <w:sz w:val="20"/>
              </w:rPr>
              <w:t>1.5 years</w:t>
            </w:r>
          </w:p>
        </w:tc>
      </w:tr>
      <w:tr>
        <w:trPr>
          <w:cantSplit/>
        </w:trPr>
        <w:tc>
          <w:tcPr>
            <w:tcW w:type="dxa" w:w="3120"/>
            <w:vAlign w:val="center"/>
          </w:tcPr>
          <w:p>
            <w:pPr>
              <w:spacing w:line="480" w:lineRule="auto" w:after="0"/>
            </w:pPr>
            <w:r>
              <w:rPr>
                <w:rFonts w:ascii="Times New Roman" w:hAnsi="Times New Roman"/>
                <w:b w:val="0"/>
                <w:sz w:val="20"/>
              </w:rPr>
              <w:t>Phase 3 duration</w:t>
            </w:r>
          </w:p>
        </w:tc>
        <w:tc>
          <w:tcPr>
            <w:tcW w:type="dxa" w:w="3120"/>
            <w:vAlign w:val="center"/>
          </w:tcPr>
          <w:p>
            <w:pPr>
              <w:spacing w:line="480" w:lineRule="auto"/>
            </w:pPr>
            <w:r>
              <w:rPr>
                <w:rFonts w:ascii="Times New Roman" w:hAnsi="Times New Roman"/>
                <w:sz w:val="20"/>
              </w:rPr>
              <w:t>Triangular: 2.0-4.0 years</w:t>
            </w:r>
          </w:p>
        </w:tc>
        <w:tc>
          <w:tcPr>
            <w:tcW w:type="dxa" w:w="3120"/>
            <w:vAlign w:val="center"/>
          </w:tcPr>
          <w:p>
            <w:pPr>
              <w:spacing w:line="480" w:lineRule="auto" w:after="0"/>
            </w:pPr>
            <w:r>
              <w:rPr>
                <w:rFonts w:ascii="Times New Roman" w:hAnsi="Times New Roman"/>
                <w:b w:val="0"/>
                <w:sz w:val="20"/>
              </w:rPr>
              <w:t>3.0 years</w:t>
            </w:r>
          </w:p>
        </w:tc>
      </w:tr>
      <w:tr>
        <w:trPr>
          <w:cantSplit/>
        </w:trPr>
        <w:tc>
          <w:tcPr>
            <w:tcW w:type="dxa" w:w="3120"/>
            <w:vAlign w:val="center"/>
          </w:tcPr>
          <w:p>
            <w:pPr>
              <w:spacing w:line="480" w:lineRule="auto" w:after="0"/>
            </w:pPr>
            <w:r>
              <w:rPr>
                <w:rFonts w:ascii="Times New Roman" w:hAnsi="Times New Roman"/>
                <w:b w:val="0"/>
                <w:sz w:val="20"/>
              </w:rPr>
              <w:t>Regulatory duration</w:t>
            </w:r>
          </w:p>
        </w:tc>
        <w:tc>
          <w:tcPr>
            <w:tcW w:type="dxa" w:w="3120"/>
            <w:vAlign w:val="center"/>
          </w:tcPr>
          <w:p>
            <w:pPr>
              <w:spacing w:line="480" w:lineRule="auto"/>
            </w:pPr>
            <w:r>
              <w:rPr>
                <w:rFonts w:ascii="Times New Roman" w:hAnsi="Times New Roman"/>
                <w:sz w:val="20"/>
              </w:rPr>
              <w:t>Triangular: 0.5-1.5 years</w:t>
            </w:r>
          </w:p>
        </w:tc>
        <w:tc>
          <w:tcPr>
            <w:tcW w:type="dxa" w:w="3120"/>
            <w:vAlign w:val="center"/>
          </w:tcPr>
          <w:p>
            <w:pPr>
              <w:spacing w:line="480" w:lineRule="auto" w:after="0"/>
            </w:pPr>
            <w:r>
              <w:rPr>
                <w:rFonts w:ascii="Times New Roman" w:hAnsi="Times New Roman"/>
                <w:b w:val="0"/>
                <w:sz w:val="20"/>
              </w:rPr>
              <w:t>1.0 year</w:t>
            </w:r>
          </w:p>
        </w:tc>
      </w:tr>
      <w:tr>
        <w:trPr>
          <w:cantSplit/>
        </w:trPr>
        <w:tc>
          <w:tcPr>
            <w:tcW w:type="dxa" w:w="3120"/>
            <w:vAlign w:val="center"/>
          </w:tcPr>
          <w:p>
            <w:pPr>
              <w:spacing w:line="480" w:lineRule="auto" w:after="0"/>
            </w:pPr>
            <w:r>
              <w:rPr>
                <w:rFonts w:ascii="Times New Roman" w:hAnsi="Times New Roman"/>
                <w:b w:val="0"/>
                <w:sz w:val="20"/>
              </w:rPr>
              <w:t>PIAP latent ρ</w:t>
            </w:r>
          </w:p>
        </w:tc>
        <w:tc>
          <w:tcPr>
            <w:tcW w:type="dxa" w:w="3120"/>
            <w:vAlign w:val="center"/>
          </w:tcPr>
          <w:p>
            <w:pPr>
              <w:spacing w:line="480" w:lineRule="auto" w:after="0"/>
            </w:pPr>
            <w:r>
              <w:rPr>
                <w:rFonts w:ascii="Times New Roman" w:hAnsi="Times New Roman"/>
                <w:b w:val="0"/>
                <w:sz w:val="20"/>
              </w:rPr>
              <w:t>Fixed</w:t>
            </w:r>
          </w:p>
        </w:tc>
        <w:tc>
          <w:tcPr>
            <w:tcW w:type="dxa" w:w="3120"/>
            <w:vAlign w:val="center"/>
          </w:tcPr>
          <w:p>
            <w:pPr>
              <w:spacing w:line="480" w:lineRule="auto" w:after="0"/>
            </w:pPr>
            <w:r>
              <w:rPr>
                <w:rFonts w:ascii="Times New Roman" w:hAnsi="Times New Roman"/>
                <w:b w:val="0"/>
                <w:sz w:val="20"/>
              </w:rPr>
              <w:t>0.415</w:t>
            </w:r>
          </w:p>
        </w:tc>
      </w:tr>
      <w:tr>
        <w:trPr>
          <w:cantSplit/>
        </w:trPr>
        <w:tc>
          <w:tcPr>
            <w:tcW w:type="dxa" w:w="3120"/>
            <w:vAlign w:val="center"/>
          </w:tcPr>
          <w:p>
            <w:pPr>
              <w:spacing w:line="480" w:lineRule="auto" w:after="0"/>
            </w:pPr>
            <w:r>
              <w:rPr>
                <w:rFonts w:ascii="Times New Roman" w:hAnsi="Times New Roman"/>
                <w:b w:val="0"/>
                <w:sz w:val="20"/>
              </w:rPr>
              <w:t>MSOG latent ρ</w:t>
            </w:r>
          </w:p>
        </w:tc>
        <w:tc>
          <w:tcPr>
            <w:tcW w:type="dxa" w:w="3120"/>
            <w:vAlign w:val="center"/>
          </w:tcPr>
          <w:p>
            <w:pPr>
              <w:spacing w:line="480" w:lineRule="auto" w:after="0"/>
            </w:pPr>
            <w:r>
              <w:rPr>
                <w:rFonts w:ascii="Times New Roman" w:hAnsi="Times New Roman"/>
                <w:b w:val="0"/>
                <w:sz w:val="20"/>
              </w:rPr>
              <w:t>Fixed</w:t>
            </w:r>
          </w:p>
        </w:tc>
        <w:tc>
          <w:tcPr>
            <w:tcW w:type="dxa" w:w="3120"/>
            <w:vAlign w:val="center"/>
          </w:tcPr>
          <w:p>
            <w:pPr>
              <w:spacing w:line="480" w:lineRule="auto" w:after="0"/>
            </w:pPr>
            <w:r>
              <w:rPr>
                <w:rFonts w:ascii="Times New Roman" w:hAnsi="Times New Roman"/>
                <w:b w:val="0"/>
                <w:sz w:val="20"/>
              </w:rPr>
              <w:t>0.250</w:t>
            </w:r>
          </w:p>
        </w:tc>
      </w:tr>
      <w:tr>
        <w:trPr>
          <w:cantSplit/>
        </w:trPr>
        <w:tc>
          <w:tcPr>
            <w:tcW w:type="dxa" w:w="3120"/>
            <w:vAlign w:val="center"/>
          </w:tcPr>
          <w:p>
            <w:pPr>
              <w:spacing w:line="480" w:lineRule="auto" w:after="0"/>
            </w:pPr>
            <w:r>
              <w:rPr>
                <w:rFonts w:ascii="Times New Roman" w:hAnsi="Times New Roman"/>
                <w:b w:val="0"/>
                <w:sz w:val="20"/>
              </w:rPr>
              <w:t>LOE year</w:t>
            </w:r>
          </w:p>
        </w:tc>
        <w:tc>
          <w:tcPr>
            <w:tcW w:type="dxa" w:w="3120"/>
            <w:vAlign w:val="center"/>
          </w:tcPr>
          <w:p>
            <w:pPr>
              <w:spacing w:line="480" w:lineRule="auto" w:after="0"/>
            </w:pPr>
            <w:r>
              <w:rPr>
                <w:rFonts w:ascii="Times New Roman" w:hAnsi="Times New Roman"/>
                <w:b w:val="0"/>
                <w:sz w:val="20"/>
              </w:rPr>
              <w:t>Fixed</w:t>
            </w:r>
          </w:p>
        </w:tc>
        <w:tc>
          <w:tcPr>
            <w:tcW w:type="dxa" w:w="3120"/>
            <w:vAlign w:val="center"/>
          </w:tcPr>
          <w:p>
            <w:pPr>
              <w:spacing w:line="480" w:lineRule="auto" w:after="0"/>
            </w:pPr>
            <w:r>
              <w:rPr>
                <w:rFonts w:ascii="Times New Roman" w:hAnsi="Times New Roman"/>
                <w:b w:val="0"/>
                <w:sz w:val="20"/>
              </w:rPr>
              <w:t>15</w:t>
            </w:r>
          </w:p>
        </w:tc>
      </w:tr>
    </w:tbl>
    <w:p>
      <w:pPr>
        <w:widowControl/>
        <w:spacing w:line="480" w:lineRule="auto"/>
      </w:pPr>
      <w:r>
        <w:rPr>
          <w:sz w:val="18"/>
        </w:rPr>
        <w:t>Abbreviations: LOE, loss of exclusivity; MSOG, multiple shots on goal; PIAP, pipeline in a pill; pTRS, probability of technical and regulatory success.</w:t>
      </w:r>
    </w:p>
    <w:p>
      <w:pPr>
        <w:widowControl/>
      </w:pPr>
      <w:r>
        <w:br w:type="page"/>
      </w:r>
    </w:p>
    <w:p>
      <w:pPr>
        <w:pStyle w:val="Heading1"/>
        <w:widowControl/>
        <w:spacing w:line="480" w:lineRule="auto"/>
      </w:pPr>
      <w:r>
        <w:rPr>
          <w:rFonts w:ascii="Times New Roman" w:hAnsi="Times New Roman"/>
          <w:color w:val="000000"/>
          <w:sz w:val="24"/>
        </w:rPr>
        <w:t>Supplementary Figure Legend</w:t>
      </w:r>
    </w:p>
    <w:p>
      <w:pPr>
        <w:widowControl/>
        <w:spacing w:line="480" w:lineRule="auto"/>
      </w:pPr>
      <w:r>
        <w:t>Figure S1. Heterogeneous launch-count planning approximation. Nominal starts required to reach 70%, 80%, and 90% probabilities of the indicated eventual approval count. Approvals are assigned to a mature three-year planning period; rolling calendar windows are not simulated. This extension applies a single factor to cumulative pTRS and uses independent MSOG trios or PIAP groups of six. PIAP, pipeline in a pill; MSOG, multiple shots on goal.</w:t>
      </w:r>
    </w:p>
    <w:p>
      <w:pPr>
        <w:widowControl/>
        <w:spacing w:line="240" w:lineRule="auto"/>
        <w:jc w:val="center"/>
      </w:pPr>
      <w:r>
        <w:drawing>
          <wp:inline xmlns:a="http://schemas.openxmlformats.org/drawingml/2006/main" xmlns:pic="http://schemas.openxmlformats.org/drawingml/2006/picture">
            <wp:extent cx="5669280" cy="2015001"/>
            <wp:docPr id="1" name="Picture 1" title="Figure S1" descr="Supplementary launch-count planning plot showing required nominal starts and effective breadth across approval-count and probability targets."/>
            <wp:cNvGraphicFramePr>
              <a:graphicFrameLocks noChangeAspect="1"/>
            </wp:cNvGraphicFramePr>
            <a:graphic>
              <a:graphicData uri="http://schemas.openxmlformats.org/drawingml/2006/picture">
                <pic:pic>
                  <pic:nvPicPr>
                    <pic:cNvPr id="0" name="fig7_heterogeneous_launch_service.png"/>
                    <pic:cNvPicPr/>
                  </pic:nvPicPr>
                  <pic:blipFill>
                    <a:blip r:embed="rId10"/>
                    <a:stretch>
                      <a:fillRect/>
                    </a:stretch>
                  </pic:blipFill>
                  <pic:spPr>
                    <a:xfrm>
                      <a:off x="0" y="0"/>
                      <a:ext cx="5669280" cy="2015001"/>
                    </a:xfrm>
                    <a:prstGeom prst="rect"/>
                  </pic:spPr>
                </pic:pic>
              </a:graphicData>
            </a:graphic>
          </wp:inline>
        </w:drawing>
      </w:r>
    </w:p>
    <w:p>
      <w:pPr>
        <w:pStyle w:val="Heading1"/>
        <w:widowControl/>
        <w:spacing w:line="480" w:lineRule="auto"/>
      </w:pPr>
      <w:r>
        <w:rPr>
          <w:rFonts w:ascii="Times New Roman" w:hAnsi="Times New Roman"/>
          <w:color w:val="000000"/>
          <w:sz w:val="24"/>
        </w:rPr>
        <w:t>Supplementary Interpretation Guide</w:t>
      </w:r>
    </w:p>
    <w:p>
      <w:pPr>
        <w:pStyle w:val="ListBullet"/>
        <w:widowControl/>
        <w:spacing w:line="480" w:lineRule="auto"/>
      </w:pPr>
      <w:r>
        <w:t>Map topology before assigning dependence: shared asset, target, pathway, indication, platform, execution dependency, and commercial market.</w:t>
      </w:r>
    </w:p>
    <w:p>
      <w:pPr>
        <w:pStyle w:val="ListBullet"/>
        <w:widowControl/>
        <w:spacing w:line="480" w:lineRule="auto"/>
      </w:pPr>
      <w:r>
        <w:t>Keep technical dependence, cost synergy, acceleration, and cannibalization as separate mechanisms.</w:t>
      </w:r>
    </w:p>
    <w:p>
      <w:pPr>
        <w:pStyle w:val="ListBullet"/>
        <w:widowControl/>
        <w:spacing w:line="480" w:lineRule="auto"/>
      </w:pPr>
      <w:r>
        <w:t>State P5 and capacity-breach limits before evaluating a preferred strategy; report CVaR and launch-count targets alongside them.</w:t>
      </w:r>
    </w:p>
    <w:p>
      <w:pPr>
        <w:pStyle w:val="ListBullet"/>
        <w:widowControl/>
        <w:spacing w:line="480" w:lineRule="auto"/>
      </w:pPr>
      <w:r>
        <w:t>Report the minimum synergy required and identify the binding decision constraint.</w:t>
      </w:r>
    </w:p>
    <w:p>
      <w:pPr>
        <w:pStyle w:val="ListBullet"/>
        <w:widowControl/>
        <w:spacing w:line="480" w:lineRule="auto"/>
      </w:pPr>
      <w:r>
        <w:t>Revalue the selected strategy under dependence and revenue assumptions that could reverse the decision.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80"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line="480"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line="480" w:lineRule="auto"/>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line="48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0" w:line="480" w:lineRule="auto"/>
    </w:pPr>
    <w:rPr>
      <w:rFonts w:ascii="Times New Roman" w:hAnsi="Times New Roman"/>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Beyond Independent Shots on Goal</dc:title>
  <dc:subject/>
  <dc:creator>Michael R. Doane</dc:creator>
  <cp:keywords/>
  <dc:description>generated by python-docx</dc:description>
  <cp:lastModifiedBy/>
  <cp:revision>1</cp:revision>
  <dcterms:created xsi:type="dcterms:W3CDTF">2013-12-23T23:15:00Z</dcterms:created>
  <dcterms:modified xsi:type="dcterms:W3CDTF">2013-12-23T23:15:00Z</dcterms:modified>
  <cp:category/>
  <cp:version/>
</cp:coreProperties>
</file>