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B924C" w14:textId="77777777" w:rsidR="00C30F73" w:rsidRPr="00FB6015" w:rsidRDefault="00C30F73" w:rsidP="00C30F73">
      <w:pPr>
        <w:spacing w:line="480" w:lineRule="auto"/>
        <w:jc w:val="both"/>
        <w:rPr>
          <w:rFonts w:ascii="Helvetica Neue" w:eastAsia="Helvetica Neue" w:hAnsi="Helvetica Neue" w:cs="Helvetica Neue"/>
          <w:b/>
          <w:bCs/>
        </w:rPr>
      </w:pPr>
      <w:r w:rsidRPr="00FB6015">
        <w:rPr>
          <w:rFonts w:ascii="Helvetica Neue" w:eastAsia="Helvetica Neue" w:hAnsi="Helvetica Neue" w:cs="Helvetica Neue"/>
          <w:b/>
          <w:bCs/>
        </w:rPr>
        <w:t>SUPPLEMENTARY FIGURE LEGENDS</w:t>
      </w:r>
    </w:p>
    <w:p w14:paraId="57C8645F"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t>Supplementary Figure 1.</w:t>
      </w:r>
      <w:r>
        <w:rPr>
          <w:rFonts w:ascii="Helvetica Neue" w:eastAsia="Helvetica Neue" w:hAnsi="Helvetica Neue" w:cs="Helvetica Neue"/>
        </w:rPr>
        <w:t xml:space="preserve"> Gating strategy for flow cytometric identification of host- and donor-derived brain microglia and macrophage.</w:t>
      </w:r>
    </w:p>
    <w:p w14:paraId="3DBF6688"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(A) </w:t>
      </w:r>
      <w:r>
        <w:rPr>
          <w:rFonts w:ascii="Helvetica Neue" w:eastAsia="Helvetica Neue" w:hAnsi="Helvetica Neue" w:cs="Helvetica Neue"/>
        </w:rPr>
        <w:t>Representative flow cytometry dot plot showing separation of host-derived (CD45.2</w:t>
      </w:r>
      <w:r>
        <w:rPr>
          <w:rFonts w:ascii="Helvetica Neue" w:eastAsia="Helvetica Neue" w:hAnsi="Helvetica Neue" w:cs="Helvetica Neue"/>
          <w:vertAlign w:val="superscript"/>
        </w:rPr>
        <w:t>+/+</w:t>
      </w:r>
      <w:r>
        <w:rPr>
          <w:rFonts w:ascii="Helvetica Neue" w:eastAsia="Helvetica Neue" w:hAnsi="Helvetica Neue" w:cs="Helvetica Neue"/>
        </w:rPr>
        <w:t>) and donor-derived (CD45.1</w:t>
      </w:r>
      <w:r>
        <w:rPr>
          <w:rFonts w:ascii="Helvetica Neue" w:eastAsia="Helvetica Neue" w:hAnsi="Helvetica Neue" w:cs="Helvetica Neue"/>
          <w:vertAlign w:val="superscript"/>
        </w:rPr>
        <w:t>+/+</w:t>
      </w:r>
      <w:r>
        <w:rPr>
          <w:rFonts w:ascii="Helvetica Neue" w:eastAsia="Helvetica Neue" w:hAnsi="Helvetica Neue" w:cs="Helvetica Neue"/>
        </w:rPr>
        <w:t xml:space="preserve"> or CD45.1</w:t>
      </w:r>
      <w:r>
        <w:rPr>
          <w:rFonts w:ascii="Helvetica Neue" w:eastAsia="Helvetica Neue" w:hAnsi="Helvetica Neue" w:cs="Helvetica Neue"/>
          <w:vertAlign w:val="superscript"/>
        </w:rPr>
        <w:t>+/-</w:t>
      </w:r>
      <w:r>
        <w:rPr>
          <w:rFonts w:ascii="Helvetica Neue" w:eastAsia="Helvetica Neue" w:hAnsi="Helvetica Neue" w:cs="Helvetica Neue"/>
        </w:rPr>
        <w:t>, CD45.2</w:t>
      </w:r>
      <w:r>
        <w:rPr>
          <w:rFonts w:ascii="Helvetica Neue" w:eastAsia="Helvetica Neue" w:hAnsi="Helvetica Neue" w:cs="Helvetica Neue"/>
          <w:vertAlign w:val="superscript"/>
        </w:rPr>
        <w:t>+/-</w:t>
      </w:r>
      <w:r>
        <w:rPr>
          <w:rFonts w:ascii="Helvetica Neue" w:eastAsia="Helvetica Neue" w:hAnsi="Helvetica Neue" w:cs="Helvetica Neue"/>
        </w:rPr>
        <w:t>) CD11b+ cells. Sample key: CSF1R</w:t>
      </w:r>
      <w:r>
        <w:rPr>
          <w:rFonts w:ascii="Helvetica Neue" w:eastAsia="Helvetica Neue" w:hAnsi="Helvetica Neue" w:cs="Helvetica Neue"/>
          <w:vertAlign w:val="superscript"/>
        </w:rPr>
        <w:t>WT/WT</w:t>
      </w:r>
      <w:r>
        <w:rPr>
          <w:rFonts w:ascii="Helvetica Neue" w:eastAsia="Helvetica Neue" w:hAnsi="Helvetica Neue" w:cs="Helvetica Neue"/>
        </w:rPr>
        <w:t>; CD45.2</w:t>
      </w:r>
      <w:r>
        <w:rPr>
          <w:rFonts w:ascii="Helvetica Neue" w:eastAsia="Helvetica Neue" w:hAnsi="Helvetica Neue" w:cs="Helvetica Neue"/>
          <w:vertAlign w:val="superscript"/>
        </w:rPr>
        <w:t>+/+</w:t>
      </w:r>
      <w:r>
        <w:rPr>
          <w:rFonts w:ascii="Helvetica Neue" w:eastAsia="Helvetica Neue" w:hAnsi="Helvetica Neue" w:cs="Helvetica Neue"/>
        </w:rPr>
        <w:t xml:space="preserve"> untransplanted WT (blue). CSF1R</w:t>
      </w:r>
      <w:r>
        <w:rPr>
          <w:rFonts w:ascii="Helvetica Neue" w:eastAsia="Helvetica Neue" w:hAnsi="Helvetica Neue" w:cs="Helvetica Neue"/>
          <w:vertAlign w:val="superscript"/>
        </w:rPr>
        <w:t>G793A/G793A</w:t>
      </w:r>
      <w:r>
        <w:rPr>
          <w:rFonts w:ascii="Helvetica Neue" w:eastAsia="Helvetica Neue" w:hAnsi="Helvetica Neue" w:cs="Helvetica Neue"/>
        </w:rPr>
        <w:t>;</w:t>
      </w:r>
      <w:r>
        <w:rPr>
          <w:rFonts w:ascii="Helvetica Neue" w:eastAsia="Helvetica Neue" w:hAnsi="Helvetica Neue" w:cs="Helvetica Neue"/>
          <w:vertAlign w:val="superscript"/>
        </w:rPr>
        <w:t xml:space="preserve"> </w:t>
      </w:r>
      <w:r>
        <w:rPr>
          <w:rFonts w:ascii="Helvetica Neue" w:eastAsia="Helvetica Neue" w:hAnsi="Helvetica Neue" w:cs="Helvetica Neue"/>
        </w:rPr>
        <w:t>CD45.1</w:t>
      </w:r>
      <w:r>
        <w:rPr>
          <w:rFonts w:ascii="Helvetica Neue" w:eastAsia="Helvetica Neue" w:hAnsi="Helvetica Neue" w:cs="Helvetica Neue"/>
          <w:vertAlign w:val="superscript"/>
        </w:rPr>
        <w:t>+/+</w:t>
      </w:r>
      <w:r>
        <w:rPr>
          <w:rFonts w:ascii="Helvetica Neue" w:eastAsia="Helvetica Neue" w:hAnsi="Helvetica Neue" w:cs="Helvetica Neue"/>
        </w:rPr>
        <w:t xml:space="preserve"> HSPC-transplanted WT (red). CSF1R</w:t>
      </w:r>
      <w:r>
        <w:rPr>
          <w:rFonts w:ascii="Helvetica Neue" w:eastAsia="Helvetica Neue" w:hAnsi="Helvetica Neue" w:cs="Helvetica Neue"/>
          <w:vertAlign w:val="superscript"/>
        </w:rPr>
        <w:t>G793A/G793A</w:t>
      </w:r>
      <w:r>
        <w:rPr>
          <w:rFonts w:ascii="Helvetica Neue" w:eastAsia="Helvetica Neue" w:hAnsi="Helvetica Neue" w:cs="Helvetica Neue"/>
        </w:rPr>
        <w:t>; CD45.1</w:t>
      </w:r>
      <w:r>
        <w:rPr>
          <w:rFonts w:ascii="Helvetica Neue" w:eastAsia="Helvetica Neue" w:hAnsi="Helvetica Neue" w:cs="Helvetica Neue"/>
          <w:vertAlign w:val="superscript"/>
        </w:rPr>
        <w:t>+/-</w:t>
      </w:r>
      <w:r>
        <w:rPr>
          <w:rFonts w:ascii="Helvetica Neue" w:eastAsia="Helvetica Neue" w:hAnsi="Helvetica Neue" w:cs="Helvetica Neue"/>
        </w:rPr>
        <w:t>, CD45.2</w:t>
      </w:r>
      <w:r>
        <w:rPr>
          <w:rFonts w:ascii="Helvetica Neue" w:eastAsia="Helvetica Neue" w:hAnsi="Helvetica Neue" w:cs="Helvetica Neue"/>
          <w:vertAlign w:val="superscript"/>
        </w:rPr>
        <w:t>+/-</w:t>
      </w:r>
      <w:r>
        <w:rPr>
          <w:rFonts w:ascii="Helvetica Neue" w:eastAsia="Helvetica Neue" w:hAnsi="Helvetica Neue" w:cs="Helvetica Neue"/>
        </w:rPr>
        <w:t xml:space="preserve"> Hoxb8-transplanted WT (orange).</w:t>
      </w:r>
    </w:p>
    <w:p w14:paraId="72CD36F6"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(B) </w:t>
      </w:r>
      <w:r>
        <w:rPr>
          <w:rFonts w:ascii="Helvetica Neue" w:eastAsia="Helvetica Neue" w:hAnsi="Helvetica Neue" w:cs="Helvetica Neue"/>
        </w:rPr>
        <w:t>Flow gating strategies for CD45.1/CD45.2 flow. Cells were gated for live/dead (Live/Dead Aqua vs. SSC-A), size/granularity (FSC-A vs. SSC-A), singlets (FSC-A vs. FSC-H), CD11b expression (CD11b vs. SSC-A), congenic marker expression (CD45.2 vs. CD45.1), and TMEM119 expression (TMEM119 vs. SSC-A) within donor- and host-derived populations.</w:t>
      </w:r>
    </w:p>
    <w:p w14:paraId="45C2671D"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(C) </w:t>
      </w:r>
      <w:r>
        <w:rPr>
          <w:rFonts w:ascii="Helvetica Neue" w:eastAsia="Helvetica Neue" w:hAnsi="Helvetica Neue" w:cs="Helvetica Neue"/>
        </w:rPr>
        <w:t xml:space="preserve">Representative dot plot (left) showing gating on TMEM119+ of either CD11b- CD45+ cells (from WT control brain represented in green) or CD11b+ CD45+ cells (with WT control brain represented in blue, HSPC transplanted brain represented in red, and Hoxb8 transplanted brain represented in orange). Offset histograms (right) show TMEM119 fluorescence intensity across the four sample groups, demonstrating higher TMEM119 expression in untransplanted WT, relative to HSPC-transplanted and Hoxb8-transplanted groups. </w:t>
      </w:r>
    </w:p>
    <w:p w14:paraId="4DFAA52B"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(D) </w:t>
      </w:r>
      <w:r>
        <w:rPr>
          <w:rFonts w:ascii="Helvetica Neue" w:eastAsia="Helvetica Neue" w:hAnsi="Helvetica Neue" w:cs="Helvetica Neue"/>
        </w:rPr>
        <w:t>Representative whole-brain coronal section immunofluorescence images showing 6E10 (white) and DAPI (blue) across treatment conditions in WT and 5xFAD</w:t>
      </w:r>
      <w:r>
        <w:rPr>
          <w:rFonts w:ascii="Helvetica Neue" w:eastAsia="Helvetica Neue" w:hAnsi="Helvetica Neue" w:cs="Helvetica Neue"/>
          <w:vertAlign w:val="superscript"/>
        </w:rPr>
        <w:t xml:space="preserve"> </w:t>
      </w:r>
      <w:r>
        <w:rPr>
          <w:rFonts w:ascii="Helvetica Neue" w:eastAsia="Helvetica Neue" w:hAnsi="Helvetica Neue" w:cs="Helvetica Neue"/>
        </w:rPr>
        <w:t>mice. Scale bar, 1 mm.</w:t>
      </w:r>
    </w:p>
    <w:p w14:paraId="239F3019" w14:textId="77777777" w:rsidR="00C30F73" w:rsidRDefault="00C30F73" w:rsidP="00C30F73">
      <w:pPr>
        <w:spacing w:line="480" w:lineRule="auto"/>
        <w:jc w:val="both"/>
        <w:rPr>
          <w:rFonts w:ascii="Helvetica Neue" w:eastAsia="Helvetica Neue" w:hAnsi="Helvetica Neue" w:cs="Helvetica Neue"/>
          <w:b/>
          <w:bCs/>
        </w:rPr>
      </w:pPr>
    </w:p>
    <w:p w14:paraId="2D0501E1"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t xml:space="preserve">Supplementary Figure 2. </w:t>
      </w:r>
      <w:r>
        <w:rPr>
          <w:rFonts w:ascii="Helvetica Neue" w:eastAsia="Helvetica Neue" w:hAnsi="Helvetica Neue" w:cs="Helvetica Neue"/>
        </w:rPr>
        <w:t>Single-cell RNA sequencing quality control metrics and cell recovery across genotypes and treatment conditions.</w:t>
      </w:r>
    </w:p>
    <w:p w14:paraId="3425E390"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lastRenderedPageBreak/>
        <w:t xml:space="preserve">(A) </w:t>
      </w:r>
      <w:r>
        <w:rPr>
          <w:rFonts w:ascii="Helvetica Neue" w:eastAsia="Helvetica Neue" w:hAnsi="Helvetica Neue" w:cs="Helvetica Neue"/>
        </w:rPr>
        <w:t>Quality control metrics across all sequenced samples and conditions. Left column: Bar plot showing number of recovered cells per individual samples, segregated by condition (top); violin and box plots showing distribution of unique molecular identifiers per cell (nUMI; middle) and number of detected genes per cell (nGene; bottom) across conditions. Middle column: UMAP feature plots showing quality control metrics across all cells: percentage of mitochondrial transcripts (percent_mito; top), nUMI (middle), and nGene (bottom). Right column: Scatter plot of % mitochondrial content vs. nUMI, colored by condition. Dotted line indicates applied filtering threshold for retention of high quality cells after filtering. Cells within the following range were processed for downstream analyses: 1,000 &lt; nUMI &lt; 25,000, 500 &lt; nGene &lt; 6,000, % mito genes &lt; 10%.</w:t>
      </w:r>
    </w:p>
    <w:p w14:paraId="2C97E873"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t xml:space="preserve">(B) </w:t>
      </w:r>
      <w:r>
        <w:rPr>
          <w:rFonts w:ascii="Helvetica Neue" w:eastAsia="Helvetica Neue" w:hAnsi="Helvetica Neue" w:cs="Helvetica Neue"/>
        </w:rPr>
        <w:t xml:space="preserve">UMAP plots of all sequenced cells split by treatment condition (columns: control, PLX, PLX + Hoxb8, PLX + HSPC, PLX + CD11b+ brain cells) and genotype (rows: WT, top; 5xFAD, bottom). </w:t>
      </w:r>
    </w:p>
    <w:p w14:paraId="5ABD5526" w14:textId="77777777" w:rsidR="00C30F73" w:rsidRDefault="00C30F73" w:rsidP="00C30F73">
      <w:pPr>
        <w:spacing w:line="480" w:lineRule="auto"/>
        <w:jc w:val="both"/>
        <w:rPr>
          <w:rFonts w:ascii="Helvetica Neue" w:eastAsia="Helvetica Neue" w:hAnsi="Helvetica Neue" w:cs="Helvetica Neue"/>
          <w:b/>
          <w:bCs/>
        </w:rPr>
      </w:pPr>
    </w:p>
    <w:p w14:paraId="2C7876B0"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t>Supplementary Figure 3.</w:t>
      </w:r>
      <w:r>
        <w:rPr>
          <w:rFonts w:ascii="Helvetica Neue" w:eastAsia="Helvetica Neue" w:hAnsi="Helvetica Neue" w:cs="Helvetica Neue"/>
        </w:rPr>
        <w:t xml:space="preserve"> PLX-resistant and engrafted microglia are transcriptionally similar to endogenous microglia.</w:t>
      </w:r>
    </w:p>
    <w:p w14:paraId="246DF649"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t xml:space="preserve">(A) </w:t>
      </w:r>
      <w:r>
        <w:rPr>
          <w:rFonts w:ascii="Helvetica Neue" w:eastAsia="Helvetica Neue" w:hAnsi="Helvetica Neue" w:cs="Helvetica Neue"/>
        </w:rPr>
        <w:t>UMAP plot of microglia/macrophages subclustered from all CNS UMAP (</w:t>
      </w:r>
      <w:r>
        <w:rPr>
          <w:rFonts w:ascii="Helvetica Neue" w:eastAsia="Helvetica Neue" w:hAnsi="Helvetica Neue" w:cs="Helvetica Neue"/>
          <w:b/>
          <w:bCs/>
        </w:rPr>
        <w:t>Figure 3B</w:t>
      </w:r>
      <w:r>
        <w:rPr>
          <w:rFonts w:ascii="Helvetica Neue" w:eastAsia="Helvetica Neue" w:hAnsi="Helvetica Neue" w:cs="Helvetica Neue"/>
        </w:rPr>
        <w:t>; 35,094 cells from n=31 mice). Eight subclusters were identified and six were annotated: homeostatic em-microglia (Em-MG), engrafted mo-microglia (Mo-MG), em-microglia DAMs (Mg-DAM), mo-microglia DAMs (Mo-DAM), interferon-responsive cells (IFR), and border-associated macrophages (BAM). Gray indicates clusters manually excluded as described in methods.</w:t>
      </w:r>
    </w:p>
    <w:p w14:paraId="298E18C6"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(B) </w:t>
      </w:r>
      <w:r>
        <w:rPr>
          <w:rFonts w:ascii="Helvetica Neue" w:eastAsia="Helvetica Neue" w:hAnsi="Helvetica Neue" w:cs="Helvetica Neue"/>
        </w:rPr>
        <w:t>Feature plots on the microglia and macrophage UMAP showing expression of cell type-specific marker genes: microglia (</w:t>
      </w:r>
      <w:r>
        <w:rPr>
          <w:rFonts w:ascii="Helvetica Neue" w:eastAsia="Helvetica Neue" w:hAnsi="Helvetica Neue" w:cs="Helvetica Neue"/>
          <w:i/>
          <w:iCs/>
        </w:rPr>
        <w:t>Sall1, Sparc, Slc2a5</w:t>
      </w:r>
      <w:r>
        <w:rPr>
          <w:rFonts w:ascii="Helvetica Neue" w:eastAsia="Helvetica Neue" w:hAnsi="Helvetica Neue" w:cs="Helvetica Neue"/>
        </w:rPr>
        <w:t>), macrophages (</w:t>
      </w:r>
      <w:r>
        <w:rPr>
          <w:rFonts w:ascii="Helvetica Neue" w:eastAsia="Helvetica Neue" w:hAnsi="Helvetica Neue" w:cs="Helvetica Neue"/>
          <w:i/>
          <w:iCs/>
        </w:rPr>
        <w:t>Ms4a7, Klra2, Clec12a</w:t>
      </w:r>
      <w:r>
        <w:rPr>
          <w:rFonts w:ascii="Helvetica Neue" w:eastAsia="Helvetica Neue" w:hAnsi="Helvetica Neue" w:cs="Helvetica Neue"/>
        </w:rPr>
        <w:t xml:space="preserve">), and border-associated </w:t>
      </w:r>
      <w:r>
        <w:rPr>
          <w:rFonts w:ascii="Helvetica Neue" w:eastAsia="Helvetica Neue" w:hAnsi="Helvetica Neue" w:cs="Helvetica Neue"/>
        </w:rPr>
        <w:lastRenderedPageBreak/>
        <w:t>macrophages (</w:t>
      </w:r>
      <w:r>
        <w:rPr>
          <w:rFonts w:ascii="Helvetica Neue" w:eastAsia="Helvetica Neue" w:hAnsi="Helvetica Neue" w:cs="Helvetica Neue"/>
          <w:i/>
          <w:iCs/>
        </w:rPr>
        <w:t>Lyve1, Mrc1</w:t>
      </w:r>
      <w:r>
        <w:rPr>
          <w:rFonts w:ascii="Helvetica Neue" w:eastAsia="Helvetica Neue" w:hAnsi="Helvetica Neue" w:cs="Helvetica Neue"/>
        </w:rPr>
        <w:t>), and cell state-enriched marker genes: homeostatic (</w:t>
      </w:r>
      <w:r>
        <w:rPr>
          <w:rFonts w:ascii="Helvetica Neue" w:eastAsia="Helvetica Neue" w:hAnsi="Helvetica Neue" w:cs="Helvetica Neue"/>
          <w:i/>
          <w:iCs/>
        </w:rPr>
        <w:t>Tmem119, P2ry12, Csf1r</w:t>
      </w:r>
      <w:r>
        <w:rPr>
          <w:rFonts w:ascii="Helvetica Neue" w:eastAsia="Helvetica Neue" w:hAnsi="Helvetica Neue" w:cs="Helvetica Neue"/>
        </w:rPr>
        <w:t>), disease-associated (</w:t>
      </w:r>
      <w:r>
        <w:rPr>
          <w:rFonts w:ascii="Helvetica Neue" w:eastAsia="Helvetica Neue" w:hAnsi="Helvetica Neue" w:cs="Helvetica Neue"/>
          <w:i/>
          <w:iCs/>
        </w:rPr>
        <w:t>Cst7, Lpl, Ctsl</w:t>
      </w:r>
      <w:r>
        <w:rPr>
          <w:rFonts w:ascii="Helvetica Neue" w:eastAsia="Helvetica Neue" w:hAnsi="Helvetica Neue" w:cs="Helvetica Neue"/>
        </w:rPr>
        <w:t>), and interferon-responsive cells (</w:t>
      </w:r>
      <w:r>
        <w:rPr>
          <w:rFonts w:ascii="Helvetica Neue" w:eastAsia="Helvetica Neue" w:hAnsi="Helvetica Neue" w:cs="Helvetica Neue"/>
          <w:i/>
          <w:iCs/>
        </w:rPr>
        <w:t>Ifit1, Ifit3, Stat1</w:t>
      </w:r>
      <w:r>
        <w:rPr>
          <w:rFonts w:ascii="Helvetica Neue" w:eastAsia="Helvetica Neue" w:hAnsi="Helvetica Neue" w:cs="Helvetica Neue"/>
        </w:rPr>
        <w:t xml:space="preserve">). </w:t>
      </w:r>
    </w:p>
    <w:p w14:paraId="4B593DFE"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(C) </w:t>
      </w:r>
      <w:r>
        <w:rPr>
          <w:rFonts w:ascii="Helvetica Neue" w:eastAsia="Helvetica Neue" w:hAnsi="Helvetica Neue" w:cs="Helvetica Neue"/>
        </w:rPr>
        <w:t>Feature plots split by experimental subgroups highlighting presence of em-MGs (</w:t>
      </w:r>
      <w:r>
        <w:rPr>
          <w:rFonts w:ascii="Helvetica Neue" w:eastAsia="Helvetica Neue" w:hAnsi="Helvetica Neue" w:cs="Helvetica Neue"/>
          <w:i/>
          <w:iCs/>
        </w:rPr>
        <w:t>Sall1</w:t>
      </w:r>
      <w:r>
        <w:rPr>
          <w:rFonts w:ascii="Helvetica Neue" w:eastAsia="Helvetica Neue" w:hAnsi="Helvetica Neue" w:cs="Helvetica Neue"/>
        </w:rPr>
        <w:t>+, top), mo-MGs (</w:t>
      </w:r>
      <w:r>
        <w:rPr>
          <w:rFonts w:ascii="Helvetica Neue" w:eastAsia="Helvetica Neue" w:hAnsi="Helvetica Neue" w:cs="Helvetica Neue"/>
          <w:i/>
          <w:iCs/>
        </w:rPr>
        <w:t>Ms4a7</w:t>
      </w:r>
      <w:r>
        <w:rPr>
          <w:rFonts w:ascii="Helvetica Neue" w:eastAsia="Helvetica Neue" w:hAnsi="Helvetica Neue" w:cs="Helvetica Neue"/>
        </w:rPr>
        <w:t>+, bottom), and the presence of both in microglia transplanted hosts.</w:t>
      </w:r>
    </w:p>
    <w:p w14:paraId="39AC1FDA"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t xml:space="preserve">(D) </w:t>
      </w:r>
      <w:r>
        <w:rPr>
          <w:rFonts w:ascii="Helvetica Neue" w:eastAsia="Helvetica Neue" w:hAnsi="Helvetica Neue" w:cs="Helvetica Neue"/>
        </w:rPr>
        <w:t>UMAP projections of microglia and macrophage split by treatment condition (columns: control, PLX, PLX + HSPC, PLX + Hoxb8, PLX + CD11b+ brain cells) and genotype (rows: WT, top; 5xFAD, bottom).</w:t>
      </w:r>
    </w:p>
    <w:p w14:paraId="1B4EBB39"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(E) </w:t>
      </w:r>
      <w:r>
        <w:rPr>
          <w:rFonts w:ascii="Helvetica Neue" w:eastAsia="Helvetica Neue" w:hAnsi="Helvetica Neue" w:cs="Helvetica Neue"/>
        </w:rPr>
        <w:t xml:space="preserve">Principal component analysis (PCA) of pseudobulk transcriptomes from homeostatic and DAM subclusters across all conditions, plotting PC1 (accounting for 57.4% variance) against PC2 (accounting for 18.3% variance). Each data point represents expression of one subcluster (DAM, homeostatic) from each combination of host genotype and treatment condition. Each dot represents average expression of n = 1 biological replicates. </w:t>
      </w:r>
    </w:p>
    <w:p w14:paraId="3671490F"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(F) </w:t>
      </w:r>
      <w:r>
        <w:rPr>
          <w:rFonts w:ascii="Helvetica Neue" w:eastAsia="Helvetica Neue" w:hAnsi="Helvetica Neue" w:cs="Helvetica Neue"/>
        </w:rPr>
        <w:t>Left: Volcano plot of differentially expressed genes between WT em-MG and CD11b+ brain transplanted mo-Mg from pseudobulk DGE analysis. Genes differentially expressed in 5xFAD microglia are labeled in blue. Genes with p-value &lt; 0.05 are considered significant. Right: Volcano plots comparing Hoxb8- vs. HSPC-derived cells in WT homeostatic population (</w:t>
      </w:r>
      <w:r>
        <w:rPr>
          <w:rFonts w:ascii="Helvetica Neue" w:eastAsia="Helvetica Neue" w:hAnsi="Helvetica Neue" w:cs="Helvetica Neue"/>
          <w:b/>
          <w:bCs/>
        </w:rPr>
        <w:t>Supplementary Table 2</w:t>
      </w:r>
      <w:r>
        <w:rPr>
          <w:rFonts w:ascii="Helvetica Neue" w:eastAsia="Helvetica Neue" w:hAnsi="Helvetica Neue" w:cs="Helvetica Neue"/>
        </w:rPr>
        <w:t xml:space="preserve">). </w:t>
      </w:r>
    </w:p>
    <w:p w14:paraId="330C85A3"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(G) </w:t>
      </w:r>
      <w:r>
        <w:rPr>
          <w:rFonts w:ascii="Helvetica Neue" w:eastAsia="Helvetica Neue" w:hAnsi="Helvetica Neue" w:cs="Helvetica Neue"/>
        </w:rPr>
        <w:t>Left: Scatter plot comparing average pseudobulk gene expression in endogenous homeostatic microglia (x-axis) and disease-associated microglia (y-axis) in 5xFAD mice. DEGs are marked in red. Genes with p-value &lt; 0.05 and log2 fold change &gt; 0.25 are considered significant. Right: Scatter plots comparing average gene expression between endogenous em-MG and transplanted CD11b+ em-MG in WT homeostatic (left), 5xFAD homeostatic (middle), and 5xFAD DAM (right) conditions (</w:t>
      </w:r>
      <w:r>
        <w:rPr>
          <w:rFonts w:ascii="Helvetica Neue" w:eastAsia="Helvetica Neue" w:hAnsi="Helvetica Neue" w:cs="Helvetica Neue"/>
          <w:b/>
          <w:bCs/>
        </w:rPr>
        <w:t>Supplementary Table 2</w:t>
      </w:r>
      <w:r>
        <w:rPr>
          <w:rFonts w:ascii="Helvetica Neue" w:eastAsia="Helvetica Neue" w:hAnsi="Helvetica Neue" w:cs="Helvetica Neue"/>
        </w:rPr>
        <w:t xml:space="preserve">). </w:t>
      </w:r>
    </w:p>
    <w:p w14:paraId="026F991B"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lastRenderedPageBreak/>
        <w:t xml:space="preserve">(H) </w:t>
      </w:r>
      <w:r>
        <w:rPr>
          <w:rFonts w:ascii="Helvetica Neue" w:eastAsia="Helvetica Neue" w:hAnsi="Helvetica Neue" w:cs="Helvetica Neue"/>
        </w:rPr>
        <w:t>Scatter plot comparing average pseudobulk gene expression between endogenous DAM (x-axis) and PLX-resistant DAM (y-axis) across 5xFAD mice. Differentially expressed genes are marked in red (</w:t>
      </w:r>
      <w:r>
        <w:rPr>
          <w:rFonts w:ascii="Helvetica Neue" w:eastAsia="Helvetica Neue" w:hAnsi="Helvetica Neue" w:cs="Helvetica Neue"/>
          <w:b/>
          <w:bCs/>
        </w:rPr>
        <w:t>Supplementary Table 2</w:t>
      </w:r>
      <w:r>
        <w:rPr>
          <w:rFonts w:ascii="Helvetica Neue" w:eastAsia="Helvetica Neue" w:hAnsi="Helvetica Neue" w:cs="Helvetica Neue"/>
        </w:rPr>
        <w:t>).</w:t>
      </w:r>
    </w:p>
    <w:p w14:paraId="0E5160F3"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t>Supplementary Figure 4.</w:t>
      </w:r>
      <w:r>
        <w:rPr>
          <w:rFonts w:ascii="Helvetica Neue" w:eastAsia="Helvetica Neue" w:hAnsi="Helvetica Neue" w:cs="Helvetica Neue"/>
        </w:rPr>
        <w:t xml:space="preserve"> mo-MGs are transcriptionally distinct from em-MGs at baseline.</w:t>
      </w:r>
    </w:p>
    <w:p w14:paraId="63011056"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(A) </w:t>
      </w:r>
      <w:r>
        <w:rPr>
          <w:rFonts w:ascii="Helvetica Neue" w:eastAsia="Helvetica Neue" w:hAnsi="Helvetica Neue" w:cs="Helvetica Neue"/>
        </w:rPr>
        <w:t>UMAP feature plots showing cholesterol transport (top row) and cholesterol metabolic process (bottom row) scores across treatment conditions in WT mice. Color scale reflects module score.</w:t>
      </w:r>
    </w:p>
    <w:p w14:paraId="3ADC9DB7"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(A') </w:t>
      </w:r>
      <w:r>
        <w:rPr>
          <w:rFonts w:ascii="Helvetica Neue" w:eastAsia="Helvetica Neue" w:hAnsi="Helvetica Neue" w:cs="Helvetica Neue"/>
        </w:rPr>
        <w:t>Violin plots of cholesterol transport (top) and cholesterol metabolic process (bottom) scores in homeostatic populations, stratified by genotype (WT: green; 5xFAD: blue).</w:t>
      </w:r>
    </w:p>
    <w:p w14:paraId="3C9B5397"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(B) </w:t>
      </w:r>
      <w:r>
        <w:rPr>
          <w:rFonts w:ascii="Helvetica Neue" w:eastAsia="Helvetica Neue" w:hAnsi="Helvetica Neue" w:cs="Helvetica Neue"/>
        </w:rPr>
        <w:t>UMAP feature plots showing lipid metabolism score across treatment conditions in 5xFAD mice. Color scale reflects module score.</w:t>
      </w:r>
    </w:p>
    <w:p w14:paraId="2DE2A717"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(B') </w:t>
      </w:r>
      <w:r>
        <w:rPr>
          <w:rFonts w:ascii="Helvetica Neue" w:eastAsia="Helvetica Neue" w:hAnsi="Helvetica Neue" w:cs="Helvetica Neue"/>
        </w:rPr>
        <w:t>Violin plots of lipid metabolism (left), cholesterol transport (middle), and cholesterol metabolic process (right) scores in 5xFAD hosts, stratified by cell state (homeostatic: blue; DAM: orange).</w:t>
      </w:r>
    </w:p>
    <w:p w14:paraId="6B30F206"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t>Supplementary Figure 5.</w:t>
      </w:r>
      <w:r>
        <w:rPr>
          <w:rFonts w:ascii="Helvetica Neue" w:eastAsia="Helvetica Neue" w:hAnsi="Helvetica Neue" w:cs="Helvetica Neue"/>
        </w:rPr>
        <w:t xml:space="preserve"> mo-MGs fail to fully induce DAM signature genes.</w:t>
      </w:r>
    </w:p>
    <w:p w14:paraId="4FC1B3C2"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(A) </w:t>
      </w:r>
      <w:r>
        <w:rPr>
          <w:rFonts w:ascii="Helvetica Neue" w:eastAsia="Helvetica Neue" w:hAnsi="Helvetica Neue" w:cs="Helvetica Neue"/>
        </w:rPr>
        <w:t>Feature plots on the microglia and macrophage UMAP showing expression of stage 1 DAM cassette across treatment conditions in 5xFAD hosts, including genes that were higher in mo-DAMs compared to em-DAMs (</w:t>
      </w:r>
      <w:r>
        <w:rPr>
          <w:rFonts w:ascii="Helvetica Neue" w:eastAsia="Helvetica Neue" w:hAnsi="Helvetica Neue" w:cs="Helvetica Neue"/>
          <w:i/>
          <w:iCs/>
        </w:rPr>
        <w:t>Apoe, Lyz2, Fth1</w:t>
      </w:r>
      <w:r>
        <w:rPr>
          <w:rFonts w:ascii="Helvetica Neue" w:eastAsia="Helvetica Neue" w:hAnsi="Helvetica Neue" w:cs="Helvetica Neue"/>
        </w:rPr>
        <w:t>) and genes that were lower in mo-DAMs compared to em-DAMs (</w:t>
      </w:r>
      <w:r>
        <w:rPr>
          <w:rFonts w:ascii="Helvetica Neue" w:eastAsia="Helvetica Neue" w:hAnsi="Helvetica Neue" w:cs="Helvetica Neue"/>
          <w:i/>
          <w:iCs/>
        </w:rPr>
        <w:t>Tyrobp, Ctsb, B2m</w:t>
      </w:r>
      <w:r>
        <w:rPr>
          <w:rFonts w:ascii="Helvetica Neue" w:eastAsia="Helvetica Neue" w:hAnsi="Helvetica Neue" w:cs="Helvetica Neue"/>
        </w:rPr>
        <w:t>).</w:t>
      </w:r>
    </w:p>
    <w:p w14:paraId="551A02C0"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(B) </w:t>
      </w:r>
      <w:r>
        <w:rPr>
          <w:rFonts w:ascii="Helvetica Neue" w:eastAsia="Helvetica Neue" w:hAnsi="Helvetica Neue" w:cs="Helvetica Neue"/>
        </w:rPr>
        <w:t>Feature plots on the microglia and macrophage UMAP showing expression of stage 2 DAM cassette across treatment conditions in 5xFAD hosts, including genes that were either not induced or minimally induced in mo-DAMs (</w:t>
      </w:r>
      <w:r>
        <w:rPr>
          <w:rFonts w:ascii="Helvetica Neue" w:eastAsia="Helvetica Neue" w:hAnsi="Helvetica Neue" w:cs="Helvetica Neue"/>
          <w:i/>
          <w:iCs/>
        </w:rPr>
        <w:t>Cst7, Ctsl, Cd9, Clec7a, Itgax, Csf1, Ccl6</w:t>
      </w:r>
      <w:r>
        <w:rPr>
          <w:rFonts w:ascii="Helvetica Neue" w:eastAsia="Helvetica Neue" w:hAnsi="Helvetica Neue" w:cs="Helvetica Neue"/>
        </w:rPr>
        <w:t>) and genes that were moderately induced in mo-DAMs (</w:t>
      </w:r>
      <w:r>
        <w:rPr>
          <w:rFonts w:ascii="Helvetica Neue" w:eastAsia="Helvetica Neue" w:hAnsi="Helvetica Neue" w:cs="Helvetica Neue"/>
          <w:i/>
          <w:iCs/>
        </w:rPr>
        <w:t>Ctsa, Axl, Trem2, Cd68, Cd63</w:t>
      </w:r>
      <w:r>
        <w:rPr>
          <w:rFonts w:ascii="Helvetica Neue" w:eastAsia="Helvetica Neue" w:hAnsi="Helvetica Neue" w:cs="Helvetica Neue"/>
        </w:rPr>
        <w:t>).</w:t>
      </w:r>
    </w:p>
    <w:p w14:paraId="61E86174" w14:textId="77777777" w:rsidR="00C30F73" w:rsidRDefault="00C30F73" w:rsidP="00C30F73">
      <w:pPr>
        <w:spacing w:line="480" w:lineRule="auto"/>
        <w:jc w:val="both"/>
        <w:rPr>
          <w:rFonts w:ascii="Helvetica Neue" w:eastAsia="Helvetica Neue" w:hAnsi="Helvetica Neue" w:cs="Helvetica Neue"/>
        </w:rPr>
      </w:pPr>
      <w:r>
        <w:rPr>
          <w:rFonts w:ascii="Helvetica Neue" w:eastAsia="Helvetica Neue" w:hAnsi="Helvetica Neue" w:cs="Helvetica Neue"/>
          <w:b/>
          <w:bCs/>
        </w:rPr>
        <w:lastRenderedPageBreak/>
        <w:t>Supplementary Figure 6.</w:t>
      </w:r>
      <w:r>
        <w:rPr>
          <w:rFonts w:ascii="Helvetica Neue" w:eastAsia="Helvetica Neue" w:hAnsi="Helvetica Neue" w:cs="Helvetica Neue"/>
        </w:rPr>
        <w:t xml:space="preserve"> Astrocyte and oligodendrocyte transcriptomic profiles remain stable across microglia replacement conditions.</w:t>
      </w:r>
    </w:p>
    <w:p w14:paraId="2AEF99F3"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t xml:space="preserve">(A) </w:t>
      </w:r>
      <w:r>
        <w:rPr>
          <w:rFonts w:ascii="Helvetica Neue" w:eastAsia="Helvetica Neue" w:hAnsi="Helvetica Neue" w:cs="Helvetica Neue"/>
        </w:rPr>
        <w:t>UMAP plot of astrocytes subclustered from all CNS UMAP (42,247 cells from n=31 mice), colored by cluster (0–2). Gray indicates clusters manually excluded as described in methods.</w:t>
      </w:r>
    </w:p>
    <w:p w14:paraId="44F1CDF4"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(B)</w:t>
      </w:r>
      <w:r>
        <w:rPr>
          <w:rFonts w:ascii="Helvetica Neue" w:eastAsia="Helvetica Neue" w:hAnsi="Helvetica Neue" w:cs="Helvetica Neue"/>
        </w:rPr>
        <w:t xml:space="preserve"> Stacked bar chart showing the proportional composition of astrocyte clusters (0–3) across all treatment conditions in WT and 5xFAD hosts.</w:t>
      </w:r>
    </w:p>
    <w:p w14:paraId="0B76D8D8"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(C)</w:t>
      </w:r>
      <w:r>
        <w:rPr>
          <w:rFonts w:ascii="Helvetica Neue" w:eastAsia="Helvetica Neue" w:hAnsi="Helvetica Neue" w:cs="Helvetica Neue"/>
        </w:rPr>
        <w:t xml:space="preserve"> Number of DEGs identified from pairwise differential expression comparison of astrocytes across conditions in WT (top) and 5xFAD (bottom) hosts. Left matrix corresponds to cluster 0 (in red), middle matrix corresponds to cluster 1 (in orange), and right matrix corresponds to cluster 2 (in green).</w:t>
      </w:r>
    </w:p>
    <w:p w14:paraId="696989B8" w14:textId="77777777" w:rsidR="00C30F73" w:rsidRDefault="00C30F73" w:rsidP="00C30F73">
      <w:pPr>
        <w:spacing w:after="120" w:line="480" w:lineRule="auto"/>
        <w:jc w:val="both"/>
        <w:rPr>
          <w:rFonts w:ascii="Helvetica Neue" w:eastAsia="Helvetica Neue" w:hAnsi="Helvetica Neue" w:cs="Helvetica Neue"/>
          <w:strike/>
        </w:rPr>
      </w:pPr>
      <w:r>
        <w:rPr>
          <w:rFonts w:ascii="Helvetica Neue" w:eastAsia="Helvetica Neue" w:hAnsi="Helvetica Neue" w:cs="Helvetica Neue"/>
          <w:b/>
          <w:bCs/>
        </w:rPr>
        <w:t xml:space="preserve">(D) </w:t>
      </w:r>
      <w:r>
        <w:rPr>
          <w:rFonts w:ascii="Helvetica Neue" w:eastAsia="Helvetica Neue" w:hAnsi="Helvetica Neue" w:cs="Helvetica Neue"/>
        </w:rPr>
        <w:t>UMAP feature plots showing astrocyte activation score across treatment conditions (control, PLX, PLX + Hoxb8, PLX + HSPC, PLX + CD11b+ brain cells) in WT (top) and 5xFAD (bottom) mice. Color scale reflects module score.</w:t>
      </w:r>
    </w:p>
    <w:p w14:paraId="10D53AFA" w14:textId="77777777" w:rsidR="00C30F73" w:rsidRDefault="00C30F73" w:rsidP="00C30F73">
      <w:pPr>
        <w:spacing w:after="120" w:line="480" w:lineRule="auto"/>
        <w:jc w:val="both"/>
        <w:rPr>
          <w:rFonts w:ascii="Helvetica Neue" w:eastAsia="Helvetica Neue" w:hAnsi="Helvetica Neue" w:cs="Helvetica Neue"/>
          <w:b/>
          <w:bCs/>
        </w:rPr>
      </w:pPr>
      <w:r>
        <w:rPr>
          <w:rFonts w:ascii="Helvetica Neue" w:eastAsia="Helvetica Neue" w:hAnsi="Helvetica Neue" w:cs="Helvetica Neue"/>
          <w:b/>
          <w:bCs/>
        </w:rPr>
        <w:t xml:space="preserve">(E) </w:t>
      </w:r>
      <w:r>
        <w:rPr>
          <w:rFonts w:ascii="Helvetica Neue" w:eastAsia="Helvetica Neue" w:hAnsi="Helvetica Neue" w:cs="Helvetica Neue"/>
        </w:rPr>
        <w:t>UMAP projection of oligodendrocytes subclustered from all CNS UMAP (22,652 cells from n=31 mice), colored by cluster (0–1). Gray indicates clusters manually excluded as described in methods.</w:t>
      </w:r>
    </w:p>
    <w:p w14:paraId="5F444835" w14:textId="77777777" w:rsidR="00C30F73" w:rsidRDefault="00C30F73" w:rsidP="00C30F73">
      <w:pPr>
        <w:spacing w:after="120" w:line="480" w:lineRule="auto"/>
        <w:jc w:val="both"/>
        <w:rPr>
          <w:rFonts w:ascii="Helvetica Neue" w:eastAsia="Helvetica Neue" w:hAnsi="Helvetica Neue" w:cs="Helvetica Neue"/>
        </w:rPr>
      </w:pPr>
      <w:r>
        <w:rPr>
          <w:rFonts w:ascii="Helvetica Neue" w:eastAsia="Helvetica Neue" w:hAnsi="Helvetica Neue" w:cs="Helvetica Neue"/>
          <w:b/>
          <w:bCs/>
        </w:rPr>
        <w:t xml:space="preserve">(F) </w:t>
      </w:r>
      <w:r>
        <w:rPr>
          <w:rFonts w:ascii="Helvetica Neue" w:eastAsia="Helvetica Neue" w:hAnsi="Helvetica Neue" w:cs="Helvetica Neue"/>
        </w:rPr>
        <w:t xml:space="preserve">Heatmap of scaled expression for the top oligodendrocytes marker genes identified as statistically enriched in each cluster using seurat’s FindAllMarkers function. </w:t>
      </w:r>
    </w:p>
    <w:p w14:paraId="59930CB8" w14:textId="77777777" w:rsidR="00C30F73" w:rsidRDefault="00C30F73" w:rsidP="00C30F73">
      <w:pPr>
        <w:spacing w:after="120" w:line="480" w:lineRule="auto"/>
        <w:jc w:val="both"/>
        <w:rPr>
          <w:rFonts w:ascii="Helvetica Neue" w:eastAsia="Helvetica Neue" w:hAnsi="Helvetica Neue" w:cs="Helvetica Neue"/>
          <w:strike/>
        </w:rPr>
      </w:pPr>
      <w:r>
        <w:rPr>
          <w:rFonts w:ascii="Helvetica Neue" w:eastAsia="Helvetica Neue" w:hAnsi="Helvetica Neue" w:cs="Helvetica Neue"/>
          <w:b/>
          <w:bCs/>
        </w:rPr>
        <w:t xml:space="preserve">(G) </w:t>
      </w:r>
      <w:r>
        <w:rPr>
          <w:rFonts w:ascii="Helvetica Neue" w:eastAsia="Helvetica Neue" w:hAnsi="Helvetica Neue" w:cs="Helvetica Neue"/>
        </w:rPr>
        <w:t>Stacked bar chart showing the proportional composition of oligodendrocyte clusters across all treatment conditions and genotypes.</w:t>
      </w:r>
    </w:p>
    <w:p w14:paraId="795BC528" w14:textId="77777777" w:rsidR="00C30F73" w:rsidRDefault="00C30F73" w:rsidP="00C30F73">
      <w:pPr>
        <w:spacing w:after="120" w:line="480" w:lineRule="auto"/>
        <w:jc w:val="both"/>
        <w:rPr>
          <w:rFonts w:ascii="Helvetica Neue" w:eastAsia="Helvetica Neue" w:hAnsi="Helvetica Neue" w:cs="Helvetica Neue"/>
          <w:b/>
          <w:bCs/>
          <w:strike/>
        </w:rPr>
      </w:pPr>
      <w:r>
        <w:rPr>
          <w:rFonts w:ascii="Helvetica Neue" w:eastAsia="Helvetica Neue" w:hAnsi="Helvetica Neue" w:cs="Helvetica Neue"/>
          <w:b/>
          <w:bCs/>
        </w:rPr>
        <w:t xml:space="preserve">(H) </w:t>
      </w:r>
      <w:r>
        <w:rPr>
          <w:rFonts w:ascii="Helvetica Neue" w:eastAsia="Helvetica Neue" w:hAnsi="Helvetica Neue" w:cs="Helvetica Neue"/>
        </w:rPr>
        <w:t>Number of DEGs identified from pairwise differential expression comparison of oligodendrocytes across conditions in WT (top) and 5xFAD (bottom) hosts. Left matrix corresponds to cluster 0 (in red) and right matrix corresponds to cluster 1 (in orange).</w:t>
      </w:r>
    </w:p>
    <w:p w14:paraId="52B480EF" w14:textId="77777777" w:rsidR="00E023F9" w:rsidRDefault="00E023F9"/>
    <w:sectPr w:rsidR="00E023F9" w:rsidSect="00C30F73">
      <w:footerReference w:type="default" r:id="rId4"/>
      <w:pgSz w:w="12240" w:h="15840"/>
      <w:pgMar w:top="720" w:right="720" w:bottom="720" w:left="864"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9953" w14:textId="77777777" w:rsidR="00C30F73" w:rsidRDefault="00C30F73">
    <w:pPr>
      <w:jc w:val="right"/>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F73"/>
    <w:rsid w:val="000C4033"/>
    <w:rsid w:val="00173ED8"/>
    <w:rsid w:val="002B17FF"/>
    <w:rsid w:val="002F50B1"/>
    <w:rsid w:val="004B42CB"/>
    <w:rsid w:val="005F2B46"/>
    <w:rsid w:val="006E1731"/>
    <w:rsid w:val="00866D74"/>
    <w:rsid w:val="00882A73"/>
    <w:rsid w:val="00906905"/>
    <w:rsid w:val="0095305D"/>
    <w:rsid w:val="00B10170"/>
    <w:rsid w:val="00B260B7"/>
    <w:rsid w:val="00B85331"/>
    <w:rsid w:val="00C30F73"/>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7679"/>
  <w15:chartTrackingRefBased/>
  <w15:docId w15:val="{F025B07D-E3E2-4472-950A-1F7F2A01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F73"/>
    <w:pPr>
      <w:spacing w:after="0" w:line="240" w:lineRule="auto"/>
    </w:pPr>
    <w:rPr>
      <w:rFonts w:ascii="Aptos" w:eastAsia="Aptos" w:hAnsi="Aptos" w:cs="Aptos"/>
      <w:kern w:val="0"/>
      <w:lang w:val="en" w:eastAsia="zh-CN"/>
      <w14:ligatures w14:val="none"/>
    </w:rPr>
  </w:style>
  <w:style w:type="paragraph" w:styleId="Heading1">
    <w:name w:val="heading 1"/>
    <w:basedOn w:val="Normal"/>
    <w:next w:val="Normal"/>
    <w:link w:val="Heading1Char"/>
    <w:uiPriority w:val="9"/>
    <w:qFormat/>
    <w:rsid w:val="00C30F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C30F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C30F7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C30F7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C30F73"/>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C30F73"/>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C30F73"/>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C30F73"/>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C30F73"/>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F73"/>
    <w:rPr>
      <w:rFonts w:eastAsiaTheme="majorEastAsia" w:cstheme="majorBidi"/>
      <w:color w:val="272727" w:themeColor="text1" w:themeTint="D8"/>
    </w:rPr>
  </w:style>
  <w:style w:type="paragraph" w:styleId="Title">
    <w:name w:val="Title"/>
    <w:basedOn w:val="Normal"/>
    <w:next w:val="Normal"/>
    <w:link w:val="TitleChar"/>
    <w:uiPriority w:val="10"/>
    <w:qFormat/>
    <w:rsid w:val="00C30F73"/>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C3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F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C3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F73"/>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C30F73"/>
    <w:rPr>
      <w:i/>
      <w:iCs/>
      <w:color w:val="404040" w:themeColor="text1" w:themeTint="BF"/>
    </w:rPr>
  </w:style>
  <w:style w:type="paragraph" w:styleId="ListParagraph">
    <w:name w:val="List Paragraph"/>
    <w:basedOn w:val="Normal"/>
    <w:uiPriority w:val="34"/>
    <w:qFormat/>
    <w:rsid w:val="00C30F73"/>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C30F73"/>
    <w:rPr>
      <w:i/>
      <w:iCs/>
      <w:color w:val="0F4761" w:themeColor="accent1" w:themeShade="BF"/>
    </w:rPr>
  </w:style>
  <w:style w:type="paragraph" w:styleId="IntenseQuote">
    <w:name w:val="Intense Quote"/>
    <w:basedOn w:val="Normal"/>
    <w:next w:val="Normal"/>
    <w:link w:val="IntenseQuoteChar"/>
    <w:uiPriority w:val="30"/>
    <w:qFormat/>
    <w:rsid w:val="00C30F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C30F73"/>
    <w:rPr>
      <w:i/>
      <w:iCs/>
      <w:color w:val="0F4761" w:themeColor="accent1" w:themeShade="BF"/>
    </w:rPr>
  </w:style>
  <w:style w:type="character" w:styleId="IntenseReference">
    <w:name w:val="Intense Reference"/>
    <w:basedOn w:val="DefaultParagraphFont"/>
    <w:uiPriority w:val="32"/>
    <w:qFormat/>
    <w:rsid w:val="00C30F73"/>
    <w:rPr>
      <w:b/>
      <w:bCs/>
      <w:smallCaps/>
      <w:color w:val="0F4761" w:themeColor="accent1" w:themeShade="BF"/>
      <w:spacing w:val="5"/>
    </w:rPr>
  </w:style>
  <w:style w:type="character" w:styleId="LineNumber">
    <w:name w:val="line number"/>
    <w:basedOn w:val="DefaultParagraphFont"/>
    <w:uiPriority w:val="99"/>
    <w:semiHidden/>
    <w:unhideWhenUsed/>
    <w:rsid w:val="00C30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7521</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2026-09-23T09:55:00Z</dcterms:created>
  <dcterms:modified xsi:type="dcterms:W3CDTF">2026-09-23T09:55:00Z</dcterms:modified>
</cp:coreProperties>
</file>