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/>
          <w:b/>
          <w:color w:val="000000"/>
          <w:sz w:val="28"/>
        </w:rPr>
        <w:t>CHERRIES Reporting Checklist</w:t>
      </w:r>
    </w:p>
    <w:p>
      <w:pPr>
        <w:spacing w:after="40"/>
        <w:jc w:val="center"/>
      </w:pPr>
      <w:r>
        <w:rPr>
          <w:rFonts w:ascii="Times New Roman" w:hAnsi="Times New Roman"/>
          <w:b/>
          <w:color w:val="000000"/>
          <w:sz w:val="21"/>
        </w:rPr>
        <w:t>Checklist for Reporting Results of Internet E-Surveys</w:t>
      </w:r>
    </w:p>
    <w:p>
      <w:pPr>
        <w:spacing w:after="40"/>
        <w:jc w:val="center"/>
      </w:pPr>
      <w:r>
        <w:rPr>
          <w:rFonts w:ascii="Times New Roman" w:hAnsi="Times New Roman"/>
          <w:b w:val="0"/>
          <w:color w:val="000000"/>
          <w:sz w:val="18"/>
        </w:rPr>
        <w:t>Manuscript: Perceived Quality of Siloed Versus Time-Synchronized Data Architectures for AI-Based Digital Mental Health: A Within-Subjects Scenario Study</w:t>
      </w:r>
    </w:p>
    <w:p>
      <w:pPr>
        <w:spacing w:after="160"/>
        <w:jc w:val="center"/>
      </w:pPr>
      <w:r>
        <w:rPr>
          <w:rFonts w:ascii="Times New Roman" w:hAnsi="Times New Roman"/>
          <w:b w:val="0"/>
          <w:color w:val="000000"/>
          <w:sz w:val="18"/>
        </w:rPr>
        <w:t>Author: Saranya Vaithilingam, PhD</w:t>
      </w:r>
    </w:p>
    <w:tbl>
      <w:tblPr>
        <w:tblStyle w:val="TableGrid"/>
        <w:tblW w:type="dxa" w:w="1440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00"/>
        <w:gridCol w:w="3300"/>
        <w:gridCol w:w="9000"/>
      </w:tblGrid>
      <w:tr>
        <w:trPr>
          <w:tblHeader w:val="true"/>
        </w:trPr>
        <w:tc>
          <w:tcPr>
            <w:tcW w:type="dxa" w:w="2100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17"/>
              </w:rPr>
              <w:t>CHERRIES item</w:t>
            </w:r>
          </w:p>
        </w:tc>
        <w:tc>
          <w:tcPr>
            <w:tcW w:type="dxa" w:w="3300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17"/>
              </w:rPr>
              <w:t>Recommendation</w:t>
            </w:r>
          </w:p>
        </w:tc>
        <w:tc>
          <w:tcPr>
            <w:tcW w:type="dxa" w:w="9000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17"/>
              </w:rPr>
              <w:t>Where reported / study response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Survey design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the target population, sampling frame, and whether the sample was a convenience sample.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Participants, Recruitment, and Survey Administration. U.S. adults aged 18 or older with digital mental health experience/familiarity; nonprobability purposive convenience sample from the paid SurveyMonkey Audience panel.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IRB approval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an institutional review board approved the study.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Ethics and Data Protection. University of the Cumberlands IRB approval no. 0925-250932, September 21, 2025.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Informed consent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consent information and how consent was obtained.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Participants, Recruitment, and Survey Administration; Ethics and Data Protection. Electronic consent appeared before study items; page logic ended the survey for respondents who declined.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Data protection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measures used to protect personal data.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Ethics and Data Protection. The investigator did not collect or access direct identifiers, IP addresses, or institutional affiliations; anonymized exports were stored in password-protected files with a three-year retention plan.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Development and pretesting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development, usability testing, and technical testing of the questionnaire.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Measures. Items were adapted with permission from established instruments and standardized for the study context. The retained study documentation does not report separate usability or technical pretesting.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Open or closed survey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access was open to any visitor or limited to a defined sample.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Closed panel survey. Access was provided through SurveyMonkey Audience to screened panel respondents.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Contact mode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whether initial contact occurred online or offline and how access was provided.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Online panel contact and hosted survey link administered through SurveyMonkey Audience. Individual invitation logs were not available to the investigator.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Advertising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where and how the survey was announced, including invitation wording where available.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Not publicly advertised. Recruitment occurred through SurveyMonkey Audience; exact panel invitation wording was not retained in the dissertation materials.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Web/e-mail survey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the type of e-survey and how responses were captured.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Hosted, self-administered SurveyMonkey web survey with automated response capture.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Survey context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the website/survey context and whether participation was required for access to other content.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Standalone doctoral-research survey. Participation was voluntary and not required to access another service.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Mandatory/voluntary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items were mandatory and how incomplete responses were handled.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Items were nonmandatory. Participants could skip items or stop without penalty; construct analyses used available complete pairs.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Incentives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participant incentives.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The investigator used a paid SurveyMonkey Audience recruitment service. Any panel-member incentive arrangements were administered by the platform and were not documented in the retained study records.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Time/date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the dates during which the survey was open.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The exact fielding dates are not stated in the retained dissertation materials. IRB approval was obtained before recruitment (September 21, 2025).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Randomization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items or questionnaires were randomized.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No. One survey version was used; both framework conditions appeared in the same matrix, and order was not randomized or counterbalanced.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Adaptive questioning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conditional display or skip patterns.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Consent and eligibility page logic controlled access. No other adaptive questioning is documented.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Number of items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the number of questionnaire items.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The analytic instrument contained 21 construct items, each rated for both framework conditions, plus consent, eligibility, and demographic items.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Number of screens/pages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the number of survey screens or pages.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The framework ratings were presented in matrix format. The exact number of SurveyMonkey screens is not stated in retained documentation.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Completeness check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completeness was enforced before submission.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 item-level completeness requirement was enforced; items were voluntary. Analysis required a valid paired score for a construct.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Review step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State whether respondents could review and change answers before submission.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Not documented in the retained study materials.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Unique visitors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how unique visitors or respondents were determined.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The investigator did not collect or access IP addresses, cookies, or panel invitation logs, so unique visitors could not be independently verified.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View rate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unique survey visitors divided by unique site visitors, when available.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Not calculable because the panel invitation/site-visitor denominator was not available.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Participation rate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respondents who agreed to participate divided by unique first-page visitors.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422 survey starts and 406 consents were recorded. Using starts as the operational first-page denominator gives 96.2%, although uniqueness could not be verified.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Completion rate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Report respondents who finished divided by those who agreed to participate.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283 of 406 consenting respondents were classified as complete (69.7%). The platform also reported 283 completions among 422 starts (67.1%).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Cookies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cookie-based prevention or detection of multiple entries.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 investigator-controlled cookie check was used or accessed; any platform-level handling was not available in study records.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IP check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IP-address checks for multiple entries.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No. IP addresses were not collected or accessed by the investigator.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Log-file analysis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log-file checks for multiple entries.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 investigator log-file analysis was performed.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Registration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login or registration controls used to prevent multiple entries.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Access occurred through the SurveyMonkey Audience panel. Platform registration controls were administered by SurveyMonkey; account-level logs were not available to the investigator.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Incomplete questionnaires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whether and how incomplete questionnaires were analyzed.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Methods - Statistical Analysis; Results - Participant Flow. Pairwise deletion was applied by construct. Paired samples were 277 for system quality, 267 for information quality, and 258 for net benefits.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Atypical timestamps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exclusion based on response time or atypical completion patterns.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 response-time exclusion or atypical-timestamp analysis is reported.</w:t>
            </w:r>
          </w:p>
        </w:tc>
      </w:tr>
      <w:tr>
        <w:tc>
          <w:tcPr>
            <w:tcW w:type="dxa" w:w="21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color w:val="000000"/>
                <w:sz w:val="16"/>
              </w:rPr>
              <w:t>Statistical correction</w:t>
            </w:r>
          </w:p>
        </w:tc>
        <w:tc>
          <w:tcPr>
            <w:tcW w:type="dxa" w:w="33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Describe weighting or propensity-score adjustments used to make the sample representative.</w:t>
            </w:r>
          </w:p>
        </w:tc>
        <w:tc>
          <w:tcPr>
            <w:tcW w:type="dxa" w:w="9000"/>
            <w:vAlign w:val="center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6"/>
              </w:rPr>
              <w:t>No weighting or propensity adjustment was applied. The manuscript identifies the convenience-panel limitation; paired t tests and Wilcoxon robustness analyses address within-person comparisons, not population representativeness.</w:t>
            </w:r>
          </w:p>
        </w:tc>
      </w:tr>
    </w:tbl>
    <w:p>
      <w:pPr>
        <w:spacing w:before="120" w:after="0"/>
      </w:pPr>
      <w:r>
        <w:rPr>
          <w:rFonts w:ascii="Times New Roman" w:hAnsi="Times New Roman"/>
          <w:b w:val="0"/>
          <w:color w:val="000000"/>
          <w:sz w:val="17"/>
        </w:rPr>
        <w:t>Reference: Eysenbach G (2004) Improving the quality of Web surveys: the Checklist for Reporting Results of Internet E-Surveys (CHERRIES). Journal of Medical Internet Research 6:e34. https://doi.org/10.2196/jmir.6.3.e34</w:t>
      </w:r>
    </w:p>
    <w:sectPr w:rsidR="00FC693F" w:rsidRPr="0006063C" w:rsidSect="00034616">
      <w:footerReference w:type="default" r:id="rId9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CHERRIES Reporting Checklist</dc:title>
  <dc:subject>Supplementary reporting checklist</dc:subject>
  <dc:creator>Saranya Vaithilingam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