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48F08">
      <w:pPr>
        <w:spacing w:line="480" w:lineRule="auto"/>
        <w:rPr>
          <w:rFonts w:hint="default" w:ascii="Times New Roman" w:hAnsi="Times New Roman" w:eastAsiaTheme="minorEastAsia"/>
          <w:b/>
          <w:bCs/>
          <w:sz w:val="22"/>
          <w:szCs w:val="22"/>
          <w:highlight w:val="none"/>
          <w:lang w:val="en-US" w:eastAsia="zh-CN"/>
        </w:rPr>
      </w:pPr>
      <w:r>
        <w:rPr>
          <w:rFonts w:hint="eastAsia" w:ascii="Times New Roman" w:hAnsi="Times New Roman"/>
          <w:b/>
          <w:bCs/>
          <w:sz w:val="22"/>
          <w:szCs w:val="22"/>
          <w:highlight w:val="none"/>
        </w:rPr>
        <w:t>Supplementary</w:t>
      </w:r>
      <w:r>
        <w:rPr>
          <w:rFonts w:hint="eastAsia" w:ascii="Times New Roman" w:hAnsi="Times New Roman"/>
          <w:b/>
          <w:bCs/>
          <w:sz w:val="22"/>
          <w:szCs w:val="22"/>
          <w:highlight w:val="none"/>
          <w:lang w:val="en-US" w:eastAsia="zh-CN"/>
        </w:rPr>
        <w:t xml:space="preserve"> Material</w:t>
      </w:r>
    </w:p>
    <w:p w14:paraId="3EFB817F">
      <w:pPr>
        <w:spacing w:line="480" w:lineRule="auto"/>
        <w:rPr>
          <w:rFonts w:hint="eastAsia" w:ascii="Times New Roman" w:hAnsi="Times New Roman"/>
          <w:b w:val="0"/>
          <w:sz w:val="22"/>
          <w:szCs w:val="22"/>
          <w:highlight w:val="none"/>
        </w:rPr>
      </w:pPr>
      <w:r>
        <w:rPr>
          <w:rFonts w:hint="eastAsia" w:ascii="Times New Roman" w:hAnsi="Times New Roman"/>
          <w:b/>
          <w:bCs/>
          <w:sz w:val="22"/>
          <w:szCs w:val="22"/>
          <w:highlight w:val="none"/>
        </w:rPr>
        <w:t>Supplementary Text S1.</w:t>
      </w:r>
      <w:r>
        <w:rPr>
          <w:rFonts w:hint="eastAsia" w:ascii="Times New Roman" w:hAnsi="Times New Roman"/>
          <w:b w:val="0"/>
          <w:sz w:val="22"/>
          <w:szCs w:val="22"/>
          <w:highlight w:val="none"/>
        </w:rPr>
        <w:t xml:space="preserve"> Development of Gastric and Esophageal Tumor Segmentation Models</w:t>
      </w:r>
    </w:p>
    <w:p w14:paraId="0BBC1A13">
      <w:pPr>
        <w:spacing w:line="480" w:lineRule="auto"/>
        <w:jc w:val="both"/>
        <w:rPr>
          <w:rFonts w:hint="eastAsia" w:ascii="Times New Roman" w:hAnsi="Times New Roman"/>
          <w:b w:val="0"/>
          <w:sz w:val="22"/>
          <w:szCs w:val="22"/>
          <w:highlight w:val="none"/>
        </w:rPr>
      </w:pPr>
      <w:r>
        <w:rPr>
          <w:rFonts w:hint="eastAsia" w:ascii="Times New Roman" w:hAnsi="Times New Roman"/>
          <w:b w:val="0"/>
          <w:sz w:val="22"/>
          <w:szCs w:val="22"/>
          <w:highlight w:val="none"/>
          <w:lang w:val="en-US" w:eastAsia="zh-CN"/>
        </w:rPr>
        <w:t>T</w:t>
      </w:r>
      <w:r>
        <w:rPr>
          <w:rFonts w:hint="eastAsia" w:ascii="Times New Roman" w:hAnsi="Times New Roman"/>
          <w:b w:val="0"/>
          <w:sz w:val="22"/>
          <w:szCs w:val="22"/>
          <w:highlight w:val="none"/>
        </w:rPr>
        <w:t>wo independent nnU-Net models were developed to segment the gastric and esophageal components of adenocarcinoma of the esophagogastric junction (AEG).</w:t>
      </w:r>
    </w:p>
    <w:p w14:paraId="05CEAE71">
      <w:pPr>
        <w:spacing w:line="480" w:lineRule="auto"/>
        <w:jc w:val="both"/>
        <w:rPr>
          <w:rFonts w:hint="eastAsia" w:ascii="Times New Roman" w:hAnsi="Times New Roman"/>
          <w:b w:val="0"/>
          <w:sz w:val="22"/>
          <w:szCs w:val="22"/>
          <w:highlight w:val="none"/>
        </w:rPr>
      </w:pPr>
      <w:r>
        <w:rPr>
          <w:rFonts w:hint="eastAsia" w:ascii="Times New Roman" w:hAnsi="Times New Roman"/>
          <w:b w:val="0"/>
          <w:sz w:val="22"/>
          <w:szCs w:val="22"/>
          <w:highlight w:val="none"/>
        </w:rPr>
        <w:t xml:space="preserve">For gastric-component segmentation, a manually annotated CT dataset consisting of 250 patients with AEG was collected from </w:t>
      </w:r>
      <w:r>
        <w:rPr>
          <w:rFonts w:hint="eastAsia" w:ascii="Times New Roman" w:hAnsi="Times New Roman"/>
          <w:b w:val="0"/>
          <w:sz w:val="22"/>
          <w:szCs w:val="22"/>
          <w:highlight w:val="none"/>
          <w:lang w:val="en-US" w:eastAsia="zh-CN"/>
        </w:rPr>
        <w:t>Peking University Cancer Hospital</w:t>
      </w:r>
      <w:r>
        <w:rPr>
          <w:rFonts w:hint="eastAsia" w:ascii="Times New Roman" w:hAnsi="Times New Roman"/>
          <w:b w:val="0"/>
          <w:sz w:val="22"/>
          <w:szCs w:val="22"/>
          <w:highlight w:val="none"/>
        </w:rPr>
        <w:t>. Experienced radiologists delineated the gastric-side tumor extent according to standardized annotation protocols. The dataset was subsequently used for training and validation of the gastric-component segmentation model.</w:t>
      </w:r>
    </w:p>
    <w:p w14:paraId="0C43BB11">
      <w:pPr>
        <w:spacing w:line="480" w:lineRule="auto"/>
        <w:jc w:val="both"/>
        <w:rPr>
          <w:rFonts w:hint="eastAsia" w:ascii="Times New Roman" w:hAnsi="Times New Roman"/>
          <w:b w:val="0"/>
          <w:sz w:val="22"/>
          <w:szCs w:val="22"/>
          <w:highlight w:val="none"/>
        </w:rPr>
      </w:pPr>
      <w:r>
        <w:rPr>
          <w:rFonts w:hint="eastAsia" w:ascii="Times New Roman" w:hAnsi="Times New Roman"/>
          <w:b w:val="0"/>
          <w:sz w:val="22"/>
          <w:szCs w:val="22"/>
          <w:highlight w:val="none"/>
        </w:rPr>
        <w:t>For esophageal-component segmentation, a dedicated dataset consisting of 76 patients was constructed, including 35 patients from Peking University Cancer Hospital and 41 patients from Changzhi People's Hospital of Shanxi Province. Experienced radiologists manually delineated the esophageal-side tumor extent using the same annotation criteria. All annotations were reviewed in axial, coronal, and sagittal planes to ensure volumetric consistency and boundary accuracy.</w:t>
      </w:r>
    </w:p>
    <w:p w14:paraId="34CE9C89">
      <w:pPr>
        <w:spacing w:line="480" w:lineRule="auto"/>
        <w:jc w:val="both"/>
        <w:rPr>
          <w:rFonts w:hint="eastAsia" w:ascii="Times New Roman" w:hAnsi="Times New Roman"/>
          <w:b w:val="0"/>
          <w:sz w:val="22"/>
          <w:szCs w:val="22"/>
          <w:highlight w:val="none"/>
        </w:rPr>
      </w:pPr>
      <w:r>
        <w:rPr>
          <w:rFonts w:hint="eastAsia" w:ascii="Times New Roman" w:hAnsi="Times New Roman"/>
          <w:b w:val="0"/>
          <w:sz w:val="22"/>
          <w:szCs w:val="22"/>
          <w:highlight w:val="none"/>
        </w:rPr>
        <w:t>Both models were trained using the 3D full-resolution configuration of the nnU-Net framework. The framework automatically determined image preprocessing, network architecture, training schedule, and data augmentation strategies according to dataset characteristics. Model development was performed using the default five-fold cross-validation strategy implemented in nnU-Net. Training was conducted in Python and executed on NVIDIA Tesla V100 GPUs. The resulting segmentation masks served as candidate anatomical structures for subsequent structure selection, path modeling, and interface reasoning within the FACET framework.</w:t>
      </w:r>
    </w:p>
    <w:p w14:paraId="11CE0C77">
      <w:pPr>
        <w:spacing w:line="480" w:lineRule="auto"/>
        <w:jc w:val="both"/>
        <w:rPr>
          <w:rFonts w:hint="eastAsia" w:ascii="Times New Roman" w:hAnsi="Times New Roman"/>
          <w:b w:val="0"/>
          <w:sz w:val="22"/>
          <w:szCs w:val="22"/>
          <w:highlight w:val="none"/>
        </w:rPr>
      </w:pPr>
      <w:r>
        <w:rPr>
          <w:rFonts w:hint="eastAsia" w:ascii="Times New Roman" w:hAnsi="Times New Roman"/>
          <w:b w:val="0"/>
          <w:sz w:val="22"/>
          <w:szCs w:val="22"/>
          <w:highlight w:val="none"/>
          <w:lang w:val="en-US" w:eastAsia="zh-CN"/>
        </w:rPr>
        <w:drawing>
          <wp:inline distT="0" distB="0" distL="114300" distR="114300">
            <wp:extent cx="5210175" cy="2668905"/>
            <wp:effectExtent l="0" t="0" r="9525" b="10795"/>
            <wp:docPr id="13" name="图片 13"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2"/>
                    <pic:cNvPicPr>
                      <a:picLocks noChangeAspect="1"/>
                    </pic:cNvPicPr>
                  </pic:nvPicPr>
                  <pic:blipFill>
                    <a:blip r:embed="rId4"/>
                    <a:srcRect l="338" t="758" r="688" b="2687"/>
                    <a:stretch>
                      <a:fillRect/>
                    </a:stretch>
                  </pic:blipFill>
                  <pic:spPr>
                    <a:xfrm>
                      <a:off x="0" y="0"/>
                      <a:ext cx="5210175" cy="2668905"/>
                    </a:xfrm>
                    <a:prstGeom prst="rect">
                      <a:avLst/>
                    </a:prstGeom>
                  </pic:spPr>
                </pic:pic>
              </a:graphicData>
            </a:graphic>
          </wp:inline>
        </w:drawing>
      </w:r>
    </w:p>
    <w:p w14:paraId="7C17AD74">
      <w:pPr>
        <w:spacing w:line="480" w:lineRule="auto"/>
        <w:jc w:val="both"/>
        <w:rPr>
          <w:rFonts w:hint="eastAsia" w:ascii="Times New Roman" w:hAnsi="Times New Roman"/>
          <w:b w:val="0"/>
          <w:sz w:val="22"/>
          <w:highlight w:val="none"/>
        </w:rPr>
      </w:pPr>
      <w:r>
        <w:rPr>
          <w:rFonts w:hint="eastAsia" w:ascii="Times New Roman" w:hAnsi="Times New Roman"/>
          <w:b w:val="0"/>
          <w:sz w:val="22"/>
          <w:highlight w:val="none"/>
        </w:rPr>
        <w:t>As shown in Fig. 2, the framework begins with the perception agent</w:t>
      </w:r>
      <w:r>
        <w:rPr>
          <w:rFonts w:hint="eastAsia" w:ascii="Times New Roman" w:hAnsi="Times New Roman"/>
          <w:b w:val="0"/>
          <w:sz w:val="22"/>
          <w:highlight w:val="none"/>
          <w:lang w:val="en-US" w:eastAsia="zh-CN"/>
        </w:rPr>
        <w:t xml:space="preserve">, </w:t>
      </w:r>
      <w:r>
        <w:rPr>
          <w:rFonts w:hint="eastAsia" w:ascii="Times New Roman" w:hAnsi="Times New Roman"/>
          <w:b w:val="0"/>
          <w:sz w:val="22"/>
          <w:highlight w:val="none"/>
        </w:rPr>
        <w:t>which identifies candidate gastric and esophageal tumor regions from CT images. The extracted candidates are subsequently processed by the structure selection agent, which refines and selects anatomically plausible components for downstream analysis, thereby filtering out segmentation noise and resolving ambiguities in complex tumor presentations</w:t>
      </w:r>
      <w:r>
        <w:rPr>
          <w:rFonts w:hint="eastAsia" w:ascii="Times New Roman" w:hAnsi="Times New Roman"/>
          <w:b w:val="0"/>
          <w:sz w:val="22"/>
          <w:highlight w:val="none"/>
          <w:lang w:val="en-US" w:eastAsia="zh-CN"/>
        </w:rPr>
        <w:t>.</w:t>
      </w:r>
      <w:r>
        <w:rPr>
          <w:rFonts w:hint="eastAsia" w:ascii="Times New Roman" w:hAnsi="Times New Roman"/>
          <w:b w:val="0"/>
          <w:sz w:val="22"/>
          <w:highlight w:val="none"/>
        </w:rPr>
        <w:t xml:space="preserve"> The path modeling agent then constructs a mucosal-surface-guided search space, generates the continuous three-dimensional tumor main-axis path, and determines the tumor midpoint. This path provides a quantitative representation of longitudinal tumor extent along the gastric wall and reflects the anatomical orientation considered during endoscopic and surgical evaluation. Subsequently, the interface reasoning agent localizes a representative EGJ interface point through a hierarchical reasoning strategy integrating structural overlap, spatial relationship analysis, and lumen-based anatomical cues.</w:t>
      </w:r>
    </w:p>
    <w:p w14:paraId="0EF96605">
      <w:pPr>
        <w:spacing w:line="480" w:lineRule="auto"/>
        <w:jc w:val="both"/>
        <w:rPr>
          <w:rFonts w:hint="eastAsia" w:ascii="Times New Roman" w:hAnsi="Times New Roman"/>
          <w:b w:val="0"/>
          <w:sz w:val="22"/>
          <w:highlight w:val="none"/>
        </w:rPr>
      </w:pPr>
    </w:p>
    <w:p w14:paraId="5C894D2D">
      <w:pPr>
        <w:spacing w:line="480" w:lineRule="auto"/>
        <w:rPr>
          <w:rFonts w:hint="eastAsia" w:ascii="Times New Roman" w:hAnsi="Times New Roman"/>
          <w:b w:val="0"/>
          <w:sz w:val="22"/>
          <w:szCs w:val="22"/>
          <w:highlight w:val="none"/>
          <w:lang w:val="en-US" w:eastAsia="zh-CN"/>
        </w:rPr>
      </w:pPr>
    </w:p>
    <w:p w14:paraId="64E4334B">
      <w:pPr>
        <w:spacing w:line="480" w:lineRule="auto"/>
        <w:jc w:val="both"/>
        <w:rPr>
          <w:rFonts w:ascii="Times New Roman" w:hAnsi="Times New Roman"/>
          <w:b/>
          <w:bCs/>
          <w:sz w:val="24"/>
          <w:szCs w:val="24"/>
          <w:highlight w:val="none"/>
        </w:rPr>
      </w:pPr>
      <w:r>
        <w:rPr>
          <w:rFonts w:hint="eastAsia" w:ascii="Times New Roman" w:hAnsi="Times New Roman"/>
          <w:b/>
          <w:bCs/>
          <w:sz w:val="24"/>
          <w:szCs w:val="24"/>
          <w:highlight w:val="none"/>
        </w:rPr>
        <w:t>Structure Selection and Path Modeling</w:t>
      </w:r>
    </w:p>
    <w:p w14:paraId="48DABE35">
      <w:pPr>
        <w:spacing w:line="480" w:lineRule="auto"/>
        <w:jc w:val="both"/>
        <w:rPr>
          <w:rFonts w:ascii="Times New Roman" w:hAnsi="Times New Roman"/>
          <w:b w:val="0"/>
          <w:sz w:val="22"/>
          <w:szCs w:val="22"/>
          <w:highlight w:val="none"/>
        </w:rPr>
      </w:pPr>
      <w:r>
        <w:rPr>
          <w:rFonts w:hint="eastAsia" w:ascii="Times New Roman" w:hAnsi="Times New Roman"/>
          <w:b w:val="0"/>
          <w:sz w:val="22"/>
          <w:szCs w:val="22"/>
          <w:highlight w:val="none"/>
        </w:rPr>
        <w:t>The structure selection agent and path modeling agent, as functional units within FACET, refine candidate structures and construct the tumor main-axis path, forming the quantitative basis for Siewert classification. In contrast to the perception stage, which prioritizes comprehensive candidate generation, this stage explicitly introduces anatomical constraints to ensure structural plausibility and measurement consistency.</w:t>
      </w:r>
    </w:p>
    <w:p w14:paraId="6CC71AE5">
      <w:pPr>
        <w:spacing w:line="480" w:lineRule="auto"/>
        <w:jc w:val="both"/>
        <w:rPr>
          <w:rFonts w:hint="default" w:ascii="Times New Roman" w:hAnsi="Times New Roman" w:cs="Times New Roman"/>
          <w:b w:val="0"/>
          <w:sz w:val="22"/>
          <w:szCs w:val="22"/>
          <w:highlight w:val="none"/>
        </w:rPr>
      </w:pPr>
      <w:r>
        <w:rPr>
          <w:rFonts w:hint="eastAsia" w:ascii="Times New Roman" w:hAnsi="Times New Roman"/>
          <w:b w:val="0"/>
          <w:sz w:val="22"/>
          <w:szCs w:val="22"/>
          <w:highlight w:val="none"/>
        </w:rPr>
        <w:t>Following the initial perception stage, candidate anatomical structures are first processed by the structure selection agent, which applies anatomical constraints to eliminate disconnected or spatially implausible components and to resolve multiple candidate regions generated during automated segmentation. This module performs anatomy-guided structure selection based on spatial continuity and anatomical coherence. A clinician-provided tumor starting point is used as a spatial anchor to identify the proximal tumor region and guide subsequent path exploration. Candidate tumor structures are further evaluated according to their spatial relationship with the anchor region, ensuring selection of anatomically plausible structures for downstream analysis</w:t>
      </w:r>
      <w:r>
        <w:rPr>
          <w:rFonts w:hint="eastAsia" w:ascii="Times New Roman" w:hAnsi="Times New Roman"/>
          <w:b w:val="0"/>
          <w:sz w:val="22"/>
          <w:szCs w:val="22"/>
          <w:highlight w:val="none"/>
          <w:lang w:val="en-US" w:eastAsia="zh-CN"/>
        </w:rPr>
        <w:t xml:space="preserve"> </w:t>
      </w:r>
      <w:r>
        <w:rPr>
          <w:rFonts w:hint="eastAsia" w:ascii="Times New Roman" w:hAnsi="Times New Roman"/>
          <w:b w:val="0"/>
          <w:sz w:val="22"/>
          <w:szCs w:val="22"/>
          <w:highlight w:val="none"/>
        </w:rPr>
        <w:t>(Suppleme</w:t>
      </w:r>
      <w:r>
        <w:rPr>
          <w:rFonts w:hint="default" w:ascii="Times New Roman" w:hAnsi="Times New Roman" w:cs="Times New Roman"/>
          <w:b w:val="0"/>
          <w:sz w:val="22"/>
          <w:szCs w:val="22"/>
          <w:highlight w:val="none"/>
        </w:rPr>
        <w:t xml:space="preserve">ntary Figure </w:t>
      </w:r>
      <w:r>
        <w:rPr>
          <w:rFonts w:hint="default" w:ascii="Times New Roman" w:hAnsi="Times New Roman" w:eastAsia="宋体" w:cs="Times New Roman"/>
          <w:b w:val="0"/>
          <w:sz w:val="22"/>
          <w:szCs w:val="22"/>
          <w:highlight w:val="none"/>
          <w:lang w:val="en-US" w:eastAsia="zh-CN"/>
        </w:rPr>
        <w:t>1</w:t>
      </w:r>
      <w:r>
        <w:rPr>
          <w:rFonts w:hint="default" w:ascii="Times New Roman" w:hAnsi="Times New Roman" w:cs="Times New Roman"/>
          <w:b w:val="0"/>
          <w:sz w:val="22"/>
          <w:szCs w:val="22"/>
          <w:highlight w:val="none"/>
        </w:rPr>
        <w:t>).</w:t>
      </w:r>
    </w:p>
    <w:p w14:paraId="1A61BDDF">
      <w:pPr>
        <w:spacing w:line="480" w:lineRule="auto"/>
        <w:rPr>
          <w:rFonts w:hint="eastAsia" w:ascii="Times New Roman" w:hAnsi="Times New Roman"/>
          <w:b w:val="0"/>
          <w:sz w:val="22"/>
          <w:szCs w:val="22"/>
          <w:highlight w:val="none"/>
          <w:lang w:val="en-US" w:eastAsia="zh-CN"/>
        </w:rPr>
      </w:pPr>
    </w:p>
    <w:p w14:paraId="1E322795">
      <w:pPr>
        <w:spacing w:line="480" w:lineRule="auto"/>
        <w:jc w:val="both"/>
        <w:rPr>
          <w:rFonts w:ascii="Times New Roman" w:hAnsi="Times New Roman"/>
          <w:b w:val="0"/>
          <w:sz w:val="22"/>
          <w:szCs w:val="22"/>
          <w:highlight w:val="none"/>
        </w:rPr>
      </w:pPr>
      <w:r>
        <w:rPr>
          <w:rFonts w:ascii="Times New Roman" w:hAnsi="Times New Roman"/>
          <w:b w:val="0"/>
          <w:sz w:val="22"/>
          <w:szCs w:val="22"/>
          <w:highlight w:val="none"/>
        </w:rPr>
        <w:t xml:space="preserve">Using the refined candidates, the path modeling agent constructs a mucosal-surface-constrained search space along the gastric wall, enabling exploration of the tumor’s </w:t>
      </w:r>
      <w:r>
        <w:rPr>
          <w:rFonts w:hint="eastAsia" w:ascii="Times New Roman" w:hAnsi="Times New Roman"/>
          <w:b w:val="0"/>
          <w:sz w:val="22"/>
          <w:szCs w:val="22"/>
          <w:highlight w:val="none"/>
        </w:rPr>
        <w:t xml:space="preserve">spatial </w:t>
      </w:r>
      <w:r>
        <w:rPr>
          <w:rFonts w:ascii="Times New Roman" w:hAnsi="Times New Roman"/>
          <w:b w:val="0"/>
          <w:sz w:val="22"/>
          <w:szCs w:val="22"/>
          <w:highlight w:val="none"/>
        </w:rPr>
        <w:t>extent. This constraint restricts the search to anatomically feasible regions, preventing shortcuts through non-physiological paths (e.g., across lumen or outside the organ boundary).</w:t>
      </w:r>
      <w:r>
        <w:rPr>
          <w:rFonts w:hint="eastAsia" w:ascii="Times New Roman" w:hAnsi="Times New Roman"/>
          <w:b w:val="0"/>
          <w:sz w:val="22"/>
          <w:szCs w:val="22"/>
          <w:highlight w:val="none"/>
        </w:rPr>
        <w:t xml:space="preserve"> </w:t>
      </w:r>
      <w:r>
        <w:rPr>
          <w:rFonts w:ascii="Times New Roman" w:hAnsi="Times New Roman"/>
          <w:b w:val="0"/>
          <w:sz w:val="22"/>
          <w:szCs w:val="22"/>
          <w:highlight w:val="none"/>
        </w:rPr>
        <w:t>A three-dimensional breadth-first search (BFS) algorithm is performed within this search space, starting from a spatial anchor provided by the clinician, to generate the continuous tumor main-axis path</w:t>
      </w:r>
      <w:r>
        <w:rPr>
          <w:rFonts w:hint="eastAsia" w:ascii="Times New Roman" w:hAnsi="Times New Roman"/>
          <w:b w:val="0"/>
          <w:sz w:val="22"/>
          <w:szCs w:val="22"/>
          <w:highlight w:val="none"/>
        </w:rPr>
        <w:t xml:space="preserve"> (Suppleme</w:t>
      </w:r>
      <w:r>
        <w:rPr>
          <w:rFonts w:hint="default" w:ascii="Times New Roman" w:hAnsi="Times New Roman" w:cs="Times New Roman"/>
          <w:b w:val="0"/>
          <w:sz w:val="22"/>
          <w:szCs w:val="22"/>
          <w:highlight w:val="none"/>
        </w:rPr>
        <w:t xml:space="preserve">ntary Algorithm </w:t>
      </w:r>
      <w:r>
        <w:rPr>
          <w:rFonts w:hint="default" w:ascii="Times New Roman" w:hAnsi="Times New Roman" w:cs="Times New Roman"/>
          <w:b w:val="0"/>
          <w:sz w:val="22"/>
          <w:szCs w:val="22"/>
          <w:highlight w:val="none"/>
          <w:lang w:val="en-US" w:eastAsia="zh-CN"/>
        </w:rPr>
        <w:t>1</w:t>
      </w:r>
      <w:r>
        <w:rPr>
          <w:rFonts w:hint="default" w:ascii="Times New Roman" w:hAnsi="Times New Roman" w:cs="Times New Roman"/>
          <w:b w:val="0"/>
          <w:sz w:val="22"/>
          <w:szCs w:val="22"/>
          <w:highlight w:val="none"/>
        </w:rPr>
        <w:t xml:space="preserve">). The system generates a clear path that mirrors the tumor's progression along the gastric wall, providing surgeons with an easily interpretable guide for planning surgical intervention or evaluating tumor resection. The cumulative geodesic path length along this trajectory is computed, and the point situated at half of this length is defined as the tumor midpoint, which serves as a spatial reference for downstream interface reasoning (Supplementary Figure </w:t>
      </w:r>
      <w:r>
        <w:rPr>
          <w:rFonts w:hint="default" w:ascii="Times New Roman" w:hAnsi="Times New Roman" w:eastAsia="宋体" w:cs="Times New Roman"/>
          <w:b w:val="0"/>
          <w:sz w:val="22"/>
          <w:szCs w:val="22"/>
          <w:highlight w:val="none"/>
          <w:lang w:val="en-US" w:eastAsia="zh-CN"/>
        </w:rPr>
        <w:t>2</w:t>
      </w:r>
      <w:r>
        <w:rPr>
          <w:rFonts w:hint="default" w:ascii="Times New Roman" w:hAnsi="Times New Roman" w:cs="Times New Roman"/>
          <w:b w:val="0"/>
          <w:sz w:val="22"/>
          <w:szCs w:val="22"/>
          <w:highlight w:val="none"/>
        </w:rPr>
        <w:t xml:space="preserve">). Defining the midpoint along the geodesic path, rather than in Euclidean space, ensures </w:t>
      </w:r>
      <w:r>
        <w:rPr>
          <w:rFonts w:ascii="Times New Roman" w:hAnsi="Times New Roman"/>
          <w:b w:val="0"/>
          <w:sz w:val="22"/>
          <w:szCs w:val="22"/>
          <w:highlight w:val="none"/>
        </w:rPr>
        <w:t>consistency with curved anatomical structures and improves robustness under irregular tumor morphology.</w:t>
      </w:r>
    </w:p>
    <w:p w14:paraId="7845C7F8">
      <w:pPr>
        <w:spacing w:line="480" w:lineRule="auto"/>
        <w:jc w:val="both"/>
        <w:rPr>
          <w:rFonts w:ascii="Times New Roman" w:hAnsi="Times New Roman"/>
          <w:b w:val="0"/>
          <w:sz w:val="22"/>
          <w:szCs w:val="22"/>
          <w:highlight w:val="none"/>
        </w:rPr>
      </w:pPr>
      <w:r>
        <w:rPr>
          <w:highlight w:val="none"/>
        </w:rPr>
        <w:drawing>
          <wp:inline distT="0" distB="0" distL="114300" distR="114300">
            <wp:extent cx="4750435" cy="3447415"/>
            <wp:effectExtent l="0" t="0" r="2540" b="6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4750435" cy="3447415"/>
                    </a:xfrm>
                    <a:prstGeom prst="rect">
                      <a:avLst/>
                    </a:prstGeom>
                    <a:noFill/>
                    <a:ln>
                      <a:noFill/>
                    </a:ln>
                  </pic:spPr>
                </pic:pic>
              </a:graphicData>
            </a:graphic>
          </wp:inline>
        </w:drawing>
      </w:r>
    </w:p>
    <w:p w14:paraId="6B69D1E0">
      <w:pPr>
        <w:pStyle w:val="2"/>
        <w:spacing w:line="480" w:lineRule="auto"/>
        <w:ind w:right="147"/>
        <w:jc w:val="center"/>
        <w:rPr>
          <w:b/>
          <w:spacing w:val="1"/>
          <w:highlight w:val="none"/>
          <w:lang w:eastAsia="zh-CN"/>
        </w:rPr>
      </w:pPr>
      <w:r>
        <w:rPr>
          <w:rFonts w:hint="eastAsia"/>
          <w:b/>
          <w:spacing w:val="1"/>
          <w:highlight w:val="none"/>
          <w:lang w:eastAsia="zh-CN"/>
        </w:rPr>
        <w:drawing>
          <wp:inline distT="0" distB="0" distL="0" distR="0">
            <wp:extent cx="3462655" cy="300863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462655" cy="3008630"/>
                    </a:xfrm>
                    <a:prstGeom prst="rect">
                      <a:avLst/>
                    </a:prstGeom>
                    <a:noFill/>
                    <a:ln>
                      <a:noFill/>
                    </a:ln>
                  </pic:spPr>
                </pic:pic>
              </a:graphicData>
            </a:graphic>
          </wp:inline>
        </w:drawing>
      </w:r>
    </w:p>
    <w:p w14:paraId="55A58026">
      <w:pPr>
        <w:pStyle w:val="2"/>
        <w:spacing w:line="480" w:lineRule="auto"/>
        <w:ind w:right="147"/>
        <w:jc w:val="left"/>
        <w:rPr>
          <w:rFonts w:hint="eastAsia" w:ascii="Times New Roman" w:hAnsi="Times New Roman" w:cs="Times New Roman"/>
          <w:sz w:val="21"/>
          <w:szCs w:val="21"/>
          <w:highlight w:val="none"/>
          <w:lang w:eastAsia="zh-CN"/>
        </w:rPr>
      </w:pPr>
      <w:r>
        <w:rPr>
          <w:rFonts w:ascii="Times New Roman" w:hAnsi="Times New Roman"/>
          <w:b w:val="0"/>
          <w:sz w:val="22"/>
          <w:szCs w:val="22"/>
          <w:highlight w:val="none"/>
        </w:rPr>
        <w:t>Supplementary Figure 2. Schematic illustration of tumor main-axis path construction and tumor midpoint localization</w:t>
      </w:r>
      <w:r>
        <w:rPr>
          <w:rFonts w:ascii="Times New Roman" w:hAnsi="Times New Roman"/>
          <w:b w:val="0"/>
          <w:sz w:val="22"/>
          <w:szCs w:val="22"/>
          <w:highlight w:val="none"/>
        </w:rPr>
        <w:br w:type="textWrapping"/>
      </w:r>
      <w:r>
        <w:rPr>
          <w:rFonts w:ascii="Times New Roman" w:hAnsi="Times New Roman"/>
          <w:b w:val="0"/>
          <w:sz w:val="22"/>
          <w:szCs w:val="22"/>
          <w:highlight w:val="none"/>
        </w:rPr>
        <w:t>Note: (a) The blue path represents the straight-line segment from E</w:t>
      </w:r>
      <w:r>
        <w:rPr>
          <w:rFonts w:ascii="Times New Roman" w:hAnsi="Times New Roman"/>
          <w:b w:val="0"/>
          <w:sz w:val="22"/>
          <w:szCs w:val="22"/>
          <w:highlight w:val="none"/>
          <w:vertAlign w:val="subscript"/>
        </w:rPr>
        <w:t>start</w:t>
      </w:r>
      <w:r>
        <w:rPr>
          <w:rFonts w:ascii="Times New Roman" w:hAnsi="Times New Roman"/>
          <w:b w:val="0"/>
          <w:sz w:val="22"/>
          <w:szCs w:val="22"/>
          <w:highlight w:val="none"/>
        </w:rPr>
        <w:t xml:space="preserve"> to the mucosal-surface connection point E</w:t>
      </w:r>
      <w:r>
        <w:rPr>
          <w:rFonts w:ascii="Times New Roman" w:hAnsi="Times New Roman"/>
          <w:b w:val="0"/>
          <w:sz w:val="22"/>
          <w:szCs w:val="22"/>
          <w:highlight w:val="none"/>
          <w:vertAlign w:val="subscript"/>
        </w:rPr>
        <w:t>m</w:t>
      </w:r>
      <w:r>
        <w:rPr>
          <w:rFonts w:ascii="Times New Roman" w:hAnsi="Times New Roman"/>
          <w:b w:val="0"/>
          <w:sz w:val="22"/>
          <w:szCs w:val="22"/>
          <w:highlight w:val="none"/>
        </w:rPr>
        <w:t>. Its starting point is the clinician-annotated starting point of the esophageal tu</w:t>
      </w:r>
      <w:bookmarkStart w:id="0" w:name="_GoBack"/>
      <w:bookmarkEnd w:id="0"/>
      <w:r>
        <w:rPr>
          <w:rFonts w:ascii="Times New Roman" w:hAnsi="Times New Roman"/>
          <w:b w:val="0"/>
          <w:sz w:val="22"/>
          <w:szCs w:val="22"/>
          <w:highlight w:val="none"/>
        </w:rPr>
        <w:t>mor, E</w:t>
      </w:r>
      <w:r>
        <w:rPr>
          <w:rFonts w:ascii="Times New Roman" w:hAnsi="Times New Roman"/>
          <w:b w:val="0"/>
          <w:sz w:val="22"/>
          <w:szCs w:val="22"/>
          <w:highlight w:val="none"/>
          <w:vertAlign w:val="subscript"/>
        </w:rPr>
        <w:t>start</w:t>
      </w:r>
      <w:r>
        <w:rPr>
          <w:rFonts w:ascii="Times New Roman" w:hAnsi="Times New Roman"/>
          <w:b w:val="0"/>
          <w:sz w:val="22"/>
          <w:szCs w:val="22"/>
          <w:highlight w:val="none"/>
        </w:rPr>
        <w:t>, and the red region represents the mucosal-surface-constrained search space of the gastric tumor; (b) the intersection of the blue and green paths is E</w:t>
      </w:r>
      <w:r>
        <w:rPr>
          <w:rFonts w:ascii="Times New Roman" w:hAnsi="Times New Roman"/>
          <w:b w:val="0"/>
          <w:sz w:val="22"/>
          <w:szCs w:val="22"/>
          <w:highlight w:val="none"/>
          <w:vertAlign w:val="subscript"/>
        </w:rPr>
        <w:t>m</w:t>
      </w:r>
      <w:r>
        <w:rPr>
          <w:rFonts w:ascii="Times New Roman" w:hAnsi="Times New Roman"/>
          <w:b w:val="0"/>
          <w:sz w:val="22"/>
          <w:szCs w:val="22"/>
          <w:highlight w:val="none"/>
        </w:rPr>
        <w:t>; (c) the green path represents the mucosal-surface path from E</w:t>
      </w:r>
      <w:r>
        <w:rPr>
          <w:rFonts w:ascii="Times New Roman" w:hAnsi="Times New Roman"/>
          <w:b w:val="0"/>
          <w:sz w:val="22"/>
          <w:szCs w:val="22"/>
          <w:highlight w:val="none"/>
          <w:vertAlign w:val="subscript"/>
        </w:rPr>
        <w:t>m</w:t>
      </w:r>
      <w:r>
        <w:rPr>
          <w:rFonts w:ascii="Times New Roman" w:hAnsi="Times New Roman"/>
          <w:b w:val="0"/>
          <w:sz w:val="22"/>
          <w:szCs w:val="22"/>
          <w:highlight w:val="none"/>
        </w:rPr>
        <w:t xml:space="preserve"> to E</w:t>
      </w:r>
      <w:r>
        <w:rPr>
          <w:rFonts w:ascii="Times New Roman" w:hAnsi="Times New Roman"/>
          <w:b w:val="0"/>
          <w:sz w:val="22"/>
          <w:szCs w:val="22"/>
          <w:highlight w:val="none"/>
          <w:vertAlign w:val="subscript"/>
        </w:rPr>
        <w:t>end</w:t>
      </w:r>
      <w:r>
        <w:rPr>
          <w:rFonts w:ascii="Times New Roman" w:hAnsi="Times New Roman"/>
          <w:b w:val="0"/>
          <w:sz w:val="22"/>
          <w:szCs w:val="22"/>
          <w:highlight w:val="none"/>
        </w:rPr>
        <w:t xml:space="preserve"> obtained by searching within the mucosal-surface VOI, and the yellow point indicates the path midpoint; (d) the distal end of the green path is E</w:t>
      </w:r>
      <w:r>
        <w:rPr>
          <w:rFonts w:ascii="Times New Roman" w:hAnsi="Times New Roman"/>
          <w:b w:val="0"/>
          <w:sz w:val="22"/>
          <w:szCs w:val="22"/>
          <w:highlight w:val="none"/>
          <w:vertAlign w:val="subscript"/>
        </w:rPr>
        <w:t>end</w:t>
      </w:r>
      <w:r>
        <w:rPr>
          <w:rFonts w:ascii="Times New Roman" w:hAnsi="Times New Roman"/>
          <w:b w:val="0"/>
          <w:sz w:val="22"/>
          <w:szCs w:val="22"/>
          <w:highlight w:val="none"/>
        </w:rPr>
        <w:t>, the distal endpoint of the complete tumor main-axis path.</w:t>
      </w:r>
    </w:p>
    <w:p w14:paraId="1E558F38">
      <w:pPr>
        <w:spacing w:line="480" w:lineRule="auto"/>
        <w:jc w:val="both"/>
        <w:rPr>
          <w:rFonts w:ascii="Times New Roman" w:hAnsi="Times New Roman"/>
          <w:b w:val="0"/>
          <w:sz w:val="22"/>
          <w:szCs w:val="22"/>
          <w:highlight w:val="none"/>
        </w:rPr>
      </w:pPr>
    </w:p>
    <w:p w14:paraId="656B1E44">
      <w:pPr>
        <w:spacing w:line="480" w:lineRule="auto"/>
        <w:rPr>
          <w:rFonts w:hint="eastAsia" w:ascii="Times New Roman" w:hAnsi="Times New Roman"/>
          <w:b w:val="0"/>
          <w:sz w:val="22"/>
          <w:szCs w:val="22"/>
          <w:highlight w:val="none"/>
          <w:lang w:val="en-US" w:eastAsia="zh-CN"/>
        </w:rPr>
      </w:pPr>
    </w:p>
    <w:p w14:paraId="67D24694">
      <w:pPr>
        <w:spacing w:line="480" w:lineRule="auto"/>
        <w:jc w:val="both"/>
        <w:rPr>
          <w:rFonts w:ascii="Times New Roman" w:hAnsi="Times New Roman"/>
          <w:b/>
          <w:bCs/>
          <w:sz w:val="24"/>
          <w:szCs w:val="24"/>
          <w:highlight w:val="none"/>
        </w:rPr>
      </w:pPr>
      <w:r>
        <w:rPr>
          <w:rFonts w:hint="eastAsia" w:ascii="Times New Roman" w:hAnsi="Times New Roman"/>
          <w:b/>
          <w:bCs/>
          <w:sz w:val="24"/>
          <w:szCs w:val="24"/>
          <w:highlight w:val="none"/>
        </w:rPr>
        <w:t>Interface Reasoning and Siewert Classification</w:t>
      </w:r>
    </w:p>
    <w:p w14:paraId="701D5144">
      <w:pPr>
        <w:spacing w:line="480" w:lineRule="auto"/>
        <w:jc w:val="both"/>
        <w:rPr>
          <w:rFonts w:ascii="Times New Roman" w:hAnsi="Times New Roman"/>
          <w:b w:val="0"/>
          <w:sz w:val="22"/>
          <w:szCs w:val="22"/>
          <w:highlight w:val="none"/>
        </w:rPr>
      </w:pPr>
      <w:r>
        <w:rPr>
          <w:rFonts w:hint="eastAsia" w:ascii="Times New Roman" w:hAnsi="Times New Roman"/>
          <w:b w:val="0"/>
          <w:sz w:val="22"/>
          <w:szCs w:val="22"/>
          <w:highlight w:val="none"/>
        </w:rPr>
        <w:t>The interface reasoning agent</w:t>
      </w:r>
      <w:r>
        <w:rPr>
          <w:rFonts w:hint="eastAsia" w:ascii="Times New Roman" w:hAnsi="Times New Roman"/>
          <w:b w:val="0"/>
          <w:sz w:val="22"/>
          <w:szCs w:val="22"/>
          <w:highlight w:val="none"/>
          <w:lang w:val="en-US" w:eastAsia="zh-CN"/>
        </w:rPr>
        <w:t>s</w:t>
      </w:r>
      <w:r>
        <w:rPr>
          <w:rFonts w:hint="eastAsia" w:ascii="Times New Roman" w:hAnsi="Times New Roman"/>
          <w:b w:val="0"/>
          <w:sz w:val="22"/>
          <w:szCs w:val="22"/>
          <w:highlight w:val="none"/>
        </w:rPr>
        <w:t xml:space="preserve"> and classification module are responsible for localizing the EGJ interface point and determining the Siewert classification based on path-level measurements. Using the refined candidate structures and the tumor main-axis path generated in the preceding stage, the interface reasoning agent localizes a representative EGJ </w:t>
      </w:r>
      <w:r>
        <w:rPr>
          <w:rFonts w:hint="eastAsia" w:ascii="Times New Roman" w:hAnsi="Times New Roman"/>
          <w:b w:val="0"/>
          <w:sz w:val="22"/>
          <w:szCs w:val="22"/>
          <w:highlight w:val="none"/>
          <w:lang w:val="en-US" w:eastAsia="zh-CN"/>
        </w:rPr>
        <w:t xml:space="preserve">interface </w:t>
      </w:r>
      <w:r>
        <w:rPr>
          <w:rFonts w:hint="eastAsia" w:ascii="Times New Roman" w:hAnsi="Times New Roman"/>
          <w:b w:val="0"/>
          <w:sz w:val="22"/>
          <w:szCs w:val="22"/>
          <w:highlight w:val="none"/>
        </w:rPr>
        <w:t>point corresponding to</w:t>
      </w:r>
      <w:r>
        <w:rPr>
          <w:rFonts w:hint="eastAsia" w:ascii="Times New Roman" w:hAnsi="Times New Roman"/>
          <w:b w:val="0"/>
          <w:sz w:val="22"/>
          <w:szCs w:val="22"/>
          <w:highlight w:val="none"/>
          <w:lang w:val="en-US" w:eastAsia="zh-CN"/>
        </w:rPr>
        <w:t xml:space="preserve"> the</w:t>
      </w:r>
      <w:r>
        <w:rPr>
          <w:rFonts w:hint="eastAsia" w:ascii="Times New Roman" w:hAnsi="Times New Roman"/>
          <w:b w:val="0"/>
          <w:sz w:val="22"/>
          <w:szCs w:val="22"/>
          <w:highlight w:val="none"/>
        </w:rPr>
        <w:t xml:space="preserve"> anatomical transition between the esophageal and gastric compartments</w:t>
      </w:r>
      <w:r>
        <w:rPr>
          <w:rFonts w:hint="eastAsia" w:ascii="Times New Roman" w:hAnsi="Times New Roman"/>
          <w:b w:val="0"/>
          <w:sz w:val="22"/>
          <w:szCs w:val="22"/>
          <w:highlight w:val="none"/>
          <w:lang w:val="en-US" w:eastAsia="zh-CN"/>
        </w:rPr>
        <w:t xml:space="preserve"> </w:t>
      </w:r>
      <w:r>
        <w:rPr>
          <w:rFonts w:hint="eastAsia" w:ascii="Times New Roman" w:hAnsi="Times New Roman"/>
          <w:b w:val="0"/>
          <w:sz w:val="22"/>
          <w:szCs w:val="22"/>
          <w:highlight w:val="none"/>
        </w:rPr>
        <w:t>along the tumor trajectory, while accounting for variable tumor morphology, imaging artifacts, and segmentation uncertainties.</w:t>
      </w:r>
    </w:p>
    <w:p w14:paraId="2FC39217">
      <w:pPr>
        <w:spacing w:line="480" w:lineRule="auto"/>
        <w:jc w:val="both"/>
        <w:rPr>
          <w:rFonts w:hint="eastAsia" w:ascii="Times New Roman" w:hAnsi="Times New Roman"/>
          <w:b w:val="0"/>
          <w:sz w:val="22"/>
          <w:szCs w:val="22"/>
          <w:highlight w:val="none"/>
        </w:rPr>
      </w:pPr>
      <w:r>
        <w:rPr>
          <w:rFonts w:hint="eastAsia" w:ascii="Times New Roman" w:hAnsi="Times New Roman"/>
          <w:b w:val="0"/>
          <w:sz w:val="22"/>
          <w:szCs w:val="22"/>
          <w:highlight w:val="none"/>
        </w:rPr>
        <w:t>The reasoning process integrates multiple complementary strategies that are organized as a</w:t>
      </w:r>
      <w:r>
        <w:rPr>
          <w:rFonts w:hint="eastAsia" w:ascii="Times New Roman" w:hAnsi="Times New Roman"/>
          <w:b w:val="0"/>
          <w:sz w:val="22"/>
          <w:szCs w:val="22"/>
          <w:highlight w:val="none"/>
          <w:lang w:val="en-US" w:eastAsia="zh-CN"/>
        </w:rPr>
        <w:t>n</w:t>
      </w:r>
      <w:r>
        <w:rPr>
          <w:rFonts w:hint="eastAsia" w:ascii="Times New Roman" w:hAnsi="Times New Roman"/>
          <w:b w:val="0"/>
          <w:sz w:val="22"/>
          <w:szCs w:val="22"/>
          <w:highlight w:val="none"/>
        </w:rPr>
        <w:t xml:space="preserve"> evidence-driven decision hierarchy and automatically orchestrated according to the availability of structural evidence (Supplementary Figure </w:t>
      </w:r>
      <w:r>
        <w:rPr>
          <w:rFonts w:hint="eastAsia" w:eastAsia="宋体"/>
          <w:b w:val="0"/>
          <w:sz w:val="22"/>
          <w:szCs w:val="22"/>
          <w:highlight w:val="none"/>
          <w:lang w:val="en-US" w:eastAsia="zh-CN"/>
        </w:rPr>
        <w:t>3</w:t>
      </w:r>
      <w:r>
        <w:rPr>
          <w:rFonts w:hint="eastAsia" w:ascii="Times New Roman" w:hAnsi="Times New Roman"/>
          <w:b w:val="0"/>
          <w:sz w:val="22"/>
          <w:szCs w:val="22"/>
          <w:highlight w:val="none"/>
        </w:rPr>
        <w:t>):</w:t>
      </w:r>
    </w:p>
    <w:p w14:paraId="13BECB6A">
      <w:pPr>
        <w:spacing w:line="480" w:lineRule="auto"/>
        <w:jc w:val="center"/>
        <w:rPr>
          <w:rFonts w:hint="eastAsia" w:ascii="Times New Roman" w:hAnsi="Times New Roman"/>
          <w:b w:val="0"/>
          <w:sz w:val="22"/>
          <w:szCs w:val="22"/>
          <w:highlight w:val="none"/>
        </w:rPr>
      </w:pPr>
      <w:r>
        <w:rPr>
          <w:highlight w:val="none"/>
        </w:rPr>
        <w:drawing>
          <wp:inline distT="0" distB="0" distL="114300" distR="114300">
            <wp:extent cx="4284980" cy="6264910"/>
            <wp:effectExtent l="0" t="0" r="0" b="0"/>
            <wp:docPr id="12" name="图片 11"/>
            <wp:cNvGraphicFramePr/>
            <a:graphic xmlns:a="http://schemas.openxmlformats.org/drawingml/2006/main">
              <a:graphicData uri="http://schemas.openxmlformats.org/drawingml/2006/picture">
                <pic:pic xmlns:pic="http://schemas.openxmlformats.org/drawingml/2006/picture">
                  <pic:nvPicPr>
                    <pic:cNvPr id="12" name="图片 11"/>
                    <pic:cNvPicPr/>
                  </pic:nvPicPr>
                  <pic:blipFill>
                    <a:blip r:embed="rId7"/>
                    <a:stretch>
                      <a:fillRect/>
                    </a:stretch>
                  </pic:blipFill>
                  <pic:spPr>
                    <a:xfrm>
                      <a:off x="0" y="0"/>
                      <a:ext cx="4284980" cy="6264910"/>
                    </a:xfrm>
                    <a:prstGeom prst="rect">
                      <a:avLst/>
                    </a:prstGeom>
                  </pic:spPr>
                </pic:pic>
              </a:graphicData>
            </a:graphic>
          </wp:inline>
        </w:drawing>
      </w:r>
    </w:p>
    <w:p w14:paraId="2D4E088E">
      <w:pPr>
        <w:spacing w:line="480" w:lineRule="auto"/>
        <w:jc w:val="both"/>
        <w:rPr>
          <w:rFonts w:ascii="Times New Roman" w:hAnsi="Times New Roman"/>
          <w:b/>
          <w:bCs/>
          <w:sz w:val="24"/>
          <w:szCs w:val="24"/>
          <w:highlight w:val="none"/>
        </w:rPr>
      </w:pPr>
      <w:r>
        <w:rPr>
          <w:rFonts w:hint="eastAsia" w:ascii="Times New Roman" w:hAnsi="Times New Roman"/>
          <w:b/>
          <w:bCs/>
          <w:sz w:val="24"/>
          <w:szCs w:val="24"/>
          <w:highlight w:val="none"/>
        </w:rPr>
        <w:t>Clinical Software Implementation</w:t>
      </w:r>
    </w:p>
    <w:p w14:paraId="642C8428">
      <w:pPr>
        <w:spacing w:line="480" w:lineRule="auto"/>
        <w:jc w:val="both"/>
        <w:rPr>
          <w:rFonts w:hint="eastAsia" w:ascii="Times New Roman" w:hAnsi="Times New Roman"/>
          <w:b w:val="0"/>
          <w:sz w:val="22"/>
          <w:szCs w:val="22"/>
          <w:highlight w:val="none"/>
        </w:rPr>
      </w:pPr>
      <w:r>
        <w:rPr>
          <w:rFonts w:hint="eastAsia" w:ascii="Times New Roman" w:hAnsi="Times New Roman"/>
          <w:b w:val="0"/>
          <w:sz w:val="22"/>
          <w:szCs w:val="22"/>
          <w:highlight w:val="none"/>
        </w:rPr>
        <w:t>To facilitate clinical implementation of the proposed FACET framework, we developed a dedicated CT-based AEG analysis software platform (Fig. 3). The platform integrates volumetric CT visualization, automated tumor segmentation, anatomy-constrained tumor path reconstruction, EGJ interface localization, Siewert classification, three-dimensional rendering, and standardized result export within a unified workflow. Intermediate outputs generated by each functional agent, including tumor masks, the tumor main-axis path, the path-defined tumor midpoint, and the inferred EGJ interface point, can be displayed and interactively reviewed during the analysis process. For cases with complex anatomy, segmentation uncertainty, or ambiguous tumor boundaries, the platform allows optional manual mask refinement and clinician verification, thereby supporting anatomical plausibility, measurement reliability, and traceability of the final classification.</w:t>
      </w:r>
    </w:p>
    <w:p w14:paraId="7252B36C">
      <w:pPr>
        <w:spacing w:line="480" w:lineRule="auto"/>
        <w:jc w:val="center"/>
        <w:rPr>
          <w:rFonts w:hint="eastAsia" w:ascii="Times New Roman" w:hAnsi="Times New Roman"/>
          <w:b w:val="0"/>
          <w:sz w:val="22"/>
          <w:szCs w:val="22"/>
          <w:highlight w:val="none"/>
          <w:lang w:val="en-US" w:eastAsia="zh-CN"/>
        </w:rPr>
      </w:pPr>
      <w:r>
        <w:rPr>
          <w:highlight w:val="none"/>
        </w:rPr>
        <w:drawing>
          <wp:inline distT="0" distB="0" distL="114300" distR="114300">
            <wp:extent cx="5655945" cy="3320415"/>
            <wp:effectExtent l="0" t="0" r="8255" b="698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8"/>
                    <a:stretch>
                      <a:fillRect/>
                    </a:stretch>
                  </pic:blipFill>
                  <pic:spPr>
                    <a:xfrm>
                      <a:off x="0" y="0"/>
                      <a:ext cx="5655945" cy="332041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jZTQxMzMzMGRmMjk5ODgzYTM4OGM3YzAyMDFkMTEifQ=="/>
  </w:docVars>
  <w:rsids>
    <w:rsidRoot w:val="260E5D4C"/>
    <w:rsid w:val="0A774C81"/>
    <w:rsid w:val="223700F7"/>
    <w:rsid w:val="260E5D4C"/>
    <w:rsid w:val="2E3A65C3"/>
    <w:rsid w:val="3C126CB2"/>
    <w:rsid w:val="49EF15E2"/>
    <w:rsid w:val="4E295EE9"/>
    <w:rsid w:val="513844EA"/>
    <w:rsid w:val="5199796C"/>
    <w:rsid w:val="56CF38C8"/>
    <w:rsid w:val="5D875D92"/>
    <w:rsid w:val="5DD13342"/>
    <w:rsid w:val="7E634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240"/>
    </w:pPr>
    <w:rPr>
      <w:sz w:val="24"/>
      <w:szCs w:val="24"/>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1014</Words>
  <Characters>6849</Characters>
  <Lines>0</Lines>
  <Paragraphs>0</Paragraphs>
  <TotalTime>7</TotalTime>
  <ScaleCrop>false</ScaleCrop>
  <LinksUpToDate>false</LinksUpToDate>
  <CharactersWithSpaces>7845</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2026-06-15T08:40:00Z</dcterms:created>
  <dc:creator>ruojinLi</dc:creator>
  <cp:lastModifiedBy>刘</cp:lastModifiedBy>
  <dcterms:modified xsi:type="dcterms:W3CDTF">2026-09-11T14:52:09Z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4756FF31033342928725AD66143D6856_13</vt:lpwstr>
  </property>
  <property fmtid="{D5CDD505-2E9C-101B-9397-08002B2CF9AE}" pid="4" name="KSOTemplateDocerSaveRecord">
    <vt:lpwstr>eyJoZGlkIjoiYzU0ZmE5ZThhZjgzYjVjNmU2MzE4YWMyMmY4Njk0NjIiLCJ1c2VySWQiOiI2MjY3NDMwNzUifQ==</vt:lpwstr>
  </property>
</Properties>
</file>