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Supplementary Tables S1–S5: OPLL video study</w:t>
      </w:r>
    </w:p>
    <w:p>
      <w:pPr>
        <w:keepNext/>
        <w:pageBreakBefore w:val="0"/>
        <w:spacing w:after="80"/>
      </w:pPr>
      <w:r>
        <w:rPr>
          <w:rFonts w:ascii="Arial" w:hAnsi="Arial" w:eastAsia="Arial" w:cs="Arial"/>
          <w:b/>
          <w:i w:val="0"/>
          <w:sz w:val="20"/>
        </w:rPr>
        <w:t>Supplementary Table S1 | Inter-rater reliability for video-quality and educational-content measures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27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Measure</w:t>
            </w:r>
          </w:p>
        </w:tc>
        <w:tc>
          <w:tcPr>
            <w:tcW w:type="dxa" w:w="23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Reliability statistic</w:t>
            </w:r>
          </w:p>
        </w:tc>
        <w:tc>
          <w:tcPr>
            <w:tcW w:type="dxa" w:w="10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Estimate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95% CI</w:t>
            </w:r>
          </w:p>
        </w:tc>
        <w:tc>
          <w:tcPr>
            <w:tcW w:type="dxa" w:w="14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Exact agreement</w:t>
            </w:r>
          </w:p>
        </w:tc>
        <w:tc>
          <w:tcPr>
            <w:tcW w:type="dxa" w:w="7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n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GQS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Quadratic-weighted Cohen's kappa</w:t>
            </w:r>
          </w:p>
        </w:tc>
        <w:tc>
          <w:tcPr>
            <w:tcW w:type="dxa" w:w="10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0.868-0.930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84.0%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mDISCERN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ICC(A,1)</w:t>
            </w:r>
          </w:p>
        </w:tc>
        <w:tc>
          <w:tcPr>
            <w:tcW w:type="dxa" w:w="10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0.903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0.875-0.926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—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JAMA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ICC(A,1)</w:t>
            </w:r>
          </w:p>
        </w:tc>
        <w:tc>
          <w:tcPr>
            <w:tcW w:type="dxa" w:w="10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0.752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0.658-0.828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—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OPLL-specific content score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ICC(A,1)</w:t>
            </w:r>
          </w:p>
        </w:tc>
        <w:tc>
          <w:tcPr>
            <w:tcW w:type="dxa" w:w="10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0.952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0.939-0.961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—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  <w:tr>
        <w:tc>
          <w:tcPr>
            <w:tcW w:type="dxa" w:w="27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PEMAT understandability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ICC(A,1)</w:t>
            </w:r>
          </w:p>
        </w:tc>
        <w:tc>
          <w:tcPr>
            <w:tcW w:type="dxa" w:w="10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0.970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0.959-0.979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—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  <w:tr>
        <w:tc>
          <w:tcPr>
            <w:tcW w:type="dxa" w:w="27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PEMAT actionability</w:t>
            </w:r>
          </w:p>
        </w:tc>
        <w:tc>
          <w:tcPr>
            <w:tcW w:type="dxa" w:w="23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ICC(A,1)</w:t>
            </w:r>
          </w:p>
        </w:tc>
        <w:tc>
          <w:tcPr>
            <w:tcW w:type="dxa" w:w="10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0.916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0.885-0.942</w:t>
            </w:r>
          </w:p>
        </w:tc>
        <w:tc>
          <w:tcPr>
            <w:tcW w:type="dxa" w:w="14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—</w:t>
            </w:r>
          </w:p>
        </w:tc>
        <w:tc>
          <w:tcPr>
            <w:tcW w:type="dxa" w:w="7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265</w:t>
            </w:r>
          </w:p>
        </w:tc>
      </w:tr>
    </w:tbl>
    <w:p>
      <w:pPr>
        <w:spacing w:before="40" w:after="80"/>
      </w:pPr>
      <w:r>
        <w:rPr>
          <w:rFonts w:ascii="Times New Roman" w:hAnsi="Times New Roman" w:eastAsia="Times New Roman" w:cs="Times New Roman"/>
          <w:b w:val="0"/>
          <w:i w:val="0"/>
          <w:sz w:val="15"/>
        </w:rPr>
        <w:t>Reliability was calculated using independent pre-consensus ratings. ICC(A,1) denotes a two-way random-effects, absolute-agreement, single-measure intraclass correlation coefficient.</w:t>
      </w:r>
    </w:p>
    <w:p>
      <w:pPr>
        <w:keepNext/>
        <w:pageBreakBefore/>
        <w:spacing w:after="80"/>
      </w:pPr>
      <w:r>
        <w:rPr>
          <w:rFonts w:ascii="Arial" w:hAnsi="Arial" w:eastAsia="Arial" w:cs="Arial"/>
          <w:b/>
          <w:i w:val="0"/>
          <w:sz w:val="20"/>
        </w:rPr>
        <w:t>Supplementary Table S2 | Complete description of uploader and presentation-format categories</w:t>
      </w:r>
    </w:p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A. Uploader categories by platform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30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Uploader category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Overall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Bilibili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TikTok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Kwai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</w:tr>
      <w:tr>
        <w:tc>
          <w:tcPr>
            <w:tcW w:type="dxa" w:w="30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246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60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96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90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B. Uploader-category characteristics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  <w:gridCol w:w="5083"/>
      </w:tblGrid>
      <w:tr>
        <w:trPr>
          <w:tblHeader w:val="true"/>
        </w:trPr>
        <w:tc>
          <w:tcPr>
            <w:tcW w:type="dxa" w:w="30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Uploader category</w:t>
            </w:r>
          </w:p>
        </w:tc>
        <w:tc>
          <w:tcPr>
            <w:tcW w:type="dxa" w:w="3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Variable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Median (IQR)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93 (61-154)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44.5 (6-202.2)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 (0-20)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 (1-47.2)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 (0-25)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(2-3)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(1-3)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 (7-10)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70 (60.6-87.5)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Professional physician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33.3 (0-50)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71 (34.5-77.5)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12 (7-23.5)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(0.5-2.5)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(0.5-1)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 (3-6.5)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54.5 (46.4-61.1)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Medical institution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33.3 (0-33.3)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126 (126-126)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303 (303-303)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186 (186-186)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29 (29-29)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19 (19-19)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(3-3)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25 (25-25)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or family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117 (49.5-226.5)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24.5 (9.5-45.5)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(0-3.5)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13.5 (7-40)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3.5 (2-5.8)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2.5 (2-3.8)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2.5 (1-3)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(1-1.8)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 (6-10)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61.8 (56.7-77.5)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Independent user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10 (10-10)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 (4-4)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40 (40-40)</w:t>
            </w:r>
          </w:p>
        </w:tc>
      </w:tr>
      <w:tr>
        <w:tc>
          <w:tcPr>
            <w:tcW w:type="dxa" w:w="30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C. Presentation formats by platform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30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Presentation format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Overall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Bilibili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TikTok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Kwai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141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55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116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43</w:t>
            </w:r>
          </w:p>
        </w:tc>
      </w:tr>
      <w:tr>
        <w:tc>
          <w:tcPr>
            <w:tcW w:type="dxa" w:w="30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D. Presentation-format characteristics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  <w:gridCol w:w="5083"/>
      </w:tblGrid>
      <w:tr>
        <w:trPr>
          <w:tblHeader w:val="true"/>
        </w:trPr>
        <w:tc>
          <w:tcPr>
            <w:tcW w:type="dxa" w:w="30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Presentation format</w:t>
            </w:r>
          </w:p>
        </w:tc>
        <w:tc>
          <w:tcPr>
            <w:tcW w:type="dxa" w:w="3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Variable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Median (IQR)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85 (58-148)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27 (5-200)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(0-19)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 (1-39)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(0-25)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(1-2)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 (7-10)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66.7 (60-77.8)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Clinician-patient Q&amp;A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33.3 (0-33.3)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98 (63-155.2)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50 (9-182.2)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 (1-20)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12 (2.8-51)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 (1-20)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(2-4)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(1-3)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 (7-11)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80.9 (66.7-90)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Scientific popularization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33.3 (0-50)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126 (126-126)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303 (303-303)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186 (186-186)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29 (29-29)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19 (19-19)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(3-3)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25 (25-25)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Patient experience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1,226 (778-1,383.5)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(0-2.5)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(1.5-3)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(2.5-3.5)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(2-3.5)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(1.5-2)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9 (7.5-10.5)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50 (50-61.4)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Lecture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86 (61.5-1,526)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46 (24.5-344)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20 (10-56)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81 (41.5-184)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 (4.5-65)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 (2.5-3.5)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(1-1.5)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2 (2-2)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 (6-6)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63.6 (60.4-76.3)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Surgical demonstration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(0-25)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Video duration, 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31 (31-31)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108 (108-108)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16 (16-16)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168 (168-168)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 (6-6)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GQS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mDISCERN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JAMA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1 (1-1)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OPLL-specific content score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  <w:tr>
        <w:tc>
          <w:tcPr>
            <w:tcW w:type="dxa" w:w="30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understandability, %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60 (60-60)</w:t>
            </w:r>
          </w:p>
        </w:tc>
      </w:tr>
      <w:tr>
        <w:tc>
          <w:tcPr>
            <w:tcW w:type="dxa" w:w="30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Other</w:t>
            </w:r>
          </w:p>
        </w:tc>
        <w:tc>
          <w:tcPr>
            <w:tcW w:type="dxa" w:w="3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PEMAT actionability, %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</w:rPr>
              <w:t>0 (0-0)</w:t>
            </w:r>
          </w:p>
        </w:tc>
      </w:tr>
    </w:tbl>
    <w:p>
      <w:pPr>
        <w:spacing w:before="40" w:after="80"/>
      </w:pPr>
      <w:r>
        <w:rPr>
          <w:rFonts w:ascii="Times New Roman" w:hAnsi="Times New Roman" w:eastAsia="Times New Roman" w:cs="Times New Roman"/>
          <w:b w:val="0"/>
          <w:i w:val="0"/>
          <w:sz w:val="15"/>
        </w:rPr>
        <w:t>Sparse categories were retained for descriptive completeness but were not entered separately into the primary subgroup tests. PEMAT values are percentages.</w:t>
      </w:r>
    </w:p>
    <w:p>
      <w:pPr>
        <w:keepNext/>
        <w:pageBreakBefore/>
        <w:spacing w:after="80"/>
      </w:pPr>
      <w:r>
        <w:rPr>
          <w:rFonts w:ascii="Arial" w:hAnsi="Arial" w:eastAsia="Arial" w:cs="Arial"/>
          <w:b/>
          <w:i w:val="0"/>
          <w:sz w:val="20"/>
        </w:rPr>
        <w:t xml:space="preserve">Supplementary Table S3 | Complete Spearman correlation coefficients with Benjamini-Hochberg-adjusted </w:t>
      </w:r>
      <w:r>
        <w:rPr>
          <w:rFonts w:ascii="Arial" w:hAnsi="Arial" w:eastAsia="Arial" w:cs="Arial"/>
          <w:b/>
          <w:i w:val="1"/>
          <w:sz w:val="20"/>
          <w:iCs w:val="1"/>
        </w:rPr>
        <w:t>P</w:t>
      </w:r>
      <w:r>
        <w:rPr>
          <w:rFonts w:ascii="Arial" w:hAnsi="Arial" w:eastAsia="Arial" w:cs="Arial"/>
          <w:b/>
          <w:i w:val="0"/>
          <w:sz w:val="20"/>
        </w:rPr>
        <w:t xml:space="preserve"> values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>
        <w:trPr>
          <w:tblHeader w:val="true"/>
        </w:trPr>
        <w:tc>
          <w:tcPr>
            <w:tcW w:type="dxa" w:w="13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Sample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Analysis family</w:t>
            </w:r>
          </w:p>
        </w:tc>
        <w:tc>
          <w:tcPr>
            <w:tcW w:type="dxa" w:w="18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Variable 1</w:t>
            </w:r>
          </w:p>
        </w:tc>
        <w:tc>
          <w:tcPr>
            <w:tcW w:type="dxa" w:w="23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Variable 2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Spearman rho</w:t>
            </w:r>
          </w:p>
        </w:tc>
        <w:tc>
          <w:tcPr>
            <w:tcW w:type="dxa" w:w="1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Raw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  <w:tc>
          <w:tcPr>
            <w:tcW w:type="dxa" w:w="14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BH-adjusted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0.912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0.906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0.850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0.909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-0.040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0.519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0.540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0.910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0.910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0.146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0.384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0.497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0.148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0.356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0.414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0.499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-0.053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-0.191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-0.167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-0.116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0.899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0.776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0.806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0.809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0.779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-0.131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0.986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0.986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0.638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0.296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-0.228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-0.288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-0.052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0.609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-0.210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-0.008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0.934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0.975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-0.310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-0.168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0.174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-0.249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-0.076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0.456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0.585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-0.213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-0.274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0.589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-0.065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0.639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0.293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0.936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0.975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-0.146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-0.003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0.976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0.986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0.763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0.847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0.568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-0.202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0.569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0.561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0.505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-0.118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-0.171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-0.159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-0.023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0.820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0.891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-0.154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0.834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0.639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0.620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0.860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0.502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-0.045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0.663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0.705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-0.051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0.621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0.675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-0.022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0.833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0.850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0.176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-0.078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0.495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0.581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0.980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0.980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-0.143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0.698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-0.159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0.119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0.607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0.686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0.759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-0.010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0.935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0.954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0.686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0.762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time-interaction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-0.014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0.911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0.949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-0.233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0.992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0.992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0.577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0.175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-0.062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0.698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-0.259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0.174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-0.194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0.036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-0.233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0.539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-0.281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0.723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0.786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interaction-quality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-0.175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0.154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0.312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0.400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duration_s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-0.132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0.282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0.848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0.902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-0.151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0.218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0.321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-0.204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0.205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0.490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0.583</w:t>
            </w:r>
          </w:p>
        </w:tc>
      </w:tr>
      <w:tr>
        <w:tc>
          <w:tcPr>
            <w:tcW w:type="dxa" w:w="13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0.078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0.525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0.610</w:t>
            </w:r>
          </w:p>
        </w:tc>
      </w:tr>
      <w:tr>
        <w:tc>
          <w:tcPr>
            <w:tcW w:type="dxa" w:w="13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time-quality</w:t>
            </w:r>
          </w:p>
        </w:tc>
        <w:tc>
          <w:tcPr>
            <w:tcW w:type="dxa" w:w="18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days_online</w:t>
            </w:r>
          </w:p>
        </w:tc>
        <w:tc>
          <w:tcPr>
            <w:tcW w:type="dxa" w:w="23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-0.132</w:t>
            </w:r>
          </w:p>
        </w:tc>
        <w:tc>
          <w:tcPr>
            <w:tcW w:type="dxa" w:w="1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0.282</w:t>
            </w:r>
          </w:p>
        </w:tc>
        <w:tc>
          <w:tcPr>
            <w:tcW w:type="dxa" w:w="14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0.371</w:t>
            </w:r>
          </w:p>
        </w:tc>
      </w:tr>
    </w:tbl>
    <w:p>
      <w:pPr>
        <w:spacing w:before="40" w:after="80"/>
      </w:pPr>
      <w:r>
        <w:rPr>
          <w:rFonts w:ascii="Times New Roman" w:hAnsi="Times New Roman" w:eastAsia="Times New Roman" w:cs="Times New Roman"/>
          <w:b w:val="0"/>
          <w:i w:val="0"/>
          <w:sz w:val="15"/>
        </w:rPr>
        <w:t>The Benjamini-Hochberg procedure was applied across all 50 correlations within each sample (overall or a single platform). duration_s denotes video duration in seconds; days_online denotes days since publication; PEMAT_U_pct and PEMAT_A_pct denote understandability and actionability percentages. Raw interaction counts were not normalized by video views.</w:t>
      </w:r>
    </w:p>
    <w:p>
      <w:pPr>
        <w:keepNext/>
        <w:pageBreakBefore/>
        <w:spacing w:after="80"/>
      </w:pPr>
      <w:r>
        <w:rPr>
          <w:rFonts w:ascii="Arial" w:hAnsi="Arial" w:eastAsia="Arial" w:cs="Arial"/>
          <w:b/>
          <w:i w:val="0"/>
          <w:sz w:val="20"/>
        </w:rPr>
        <w:t>Supplementary Table S4 | Sensitivity analysis after excluding videos from a single high-volume tertiary spine center</w:t>
      </w:r>
    </w:p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A. Platform comparisons after exclusion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</w:tblGrid>
      <w:tr>
        <w:trPr>
          <w:tblHeader w:val="true"/>
        </w:trPr>
        <w:tc>
          <w:tcPr>
            <w:tcW w:type="dxa" w:w="18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Outcome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Bilibili (n=44)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 (n=61)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Kwai (n=90)</w:t>
            </w:r>
          </w:p>
        </w:tc>
        <w:tc>
          <w:tcPr>
            <w:tcW w:type="dxa" w:w="7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H</w:t>
            </w:r>
          </w:p>
        </w:tc>
        <w:tc>
          <w:tcPr>
            <w:tcW w:type="dxa" w:w="9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Overall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  <w:tc>
          <w:tcPr>
            <w:tcW w:type="dxa" w:w="1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Epsilon-squared</w:t>
            </w:r>
          </w:p>
        </w:tc>
        <w:tc>
          <w:tcPr>
            <w:tcW w:type="dxa" w:w="1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 vs Kwai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 vs Bilibili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Kwai vs Bilibili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(1-13.8)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189 (97-404)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17.5 (7.2-51.8)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86.97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 (0-1.2)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14 (7-54)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(1-6)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71.68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(1-12.2)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35 (11-90)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(0-15)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48.76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1.000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 (0-5)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19 (6-72)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(0-9.8)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57.43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0.289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0.025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(2-3.2)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(2-3)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 (2-3)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1.21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0.546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1.000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1.000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(1-3)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(1-3)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(1-2)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7.78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1.000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0.231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(1-2)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(2-2)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 (2-2)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15.50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0.070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0.051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OPLL-specific content score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8 (6.8-10)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9 (8-11)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8 (6-9)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13.77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0.806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 understandability, %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66.7 (55.6-77.8)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77.8 (66.7-90)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66.7 (60-80)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18.39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0.085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1.000</w:t>
            </w:r>
          </w:p>
        </w:tc>
      </w:tr>
      <w:tr>
        <w:tc>
          <w:tcPr>
            <w:tcW w:type="dxa" w:w="18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 actionability, %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 (0-33.3)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33.3 (25-66.7)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25 (0-33.3)</w:t>
            </w:r>
          </w:p>
        </w:tc>
        <w:tc>
          <w:tcPr>
            <w:tcW w:type="dxa" w:w="7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13.25</w:t>
            </w:r>
          </w:p>
        </w:tc>
        <w:tc>
          <w:tcPr>
            <w:tcW w:type="dxa" w:w="9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0.059</w:t>
            </w:r>
          </w:p>
        </w:tc>
        <w:tc>
          <w:tcPr>
            <w:tcW w:type="dxa" w:w="1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0.011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0.992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B. Platform-stratified interaction-quality correlations after exclusion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Platform</w:t>
            </w:r>
          </w:p>
        </w:tc>
        <w:tc>
          <w:tcPr>
            <w:tcW w:type="dxa" w:w="2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Interaction indicator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Quality measure</w:t>
            </w:r>
          </w:p>
        </w:tc>
        <w:tc>
          <w:tcPr>
            <w:tcW w:type="dxa" w:w="14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Spearman rho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Raw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BH-adjusted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-0.277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-0.287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0.852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-0.230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-0.090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0.733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-0.316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-0.277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-0.280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-0.102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0.699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-0.236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0.437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0.699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-0.308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0.715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-0.030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0.149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0.506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0.571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0.806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-0.161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-0.041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0.754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-0.182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0.387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0.820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-0.123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0.638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0.951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0.951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-0.220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-0.031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0.775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-0.028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0.325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-0.026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-0.063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0.683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-0.223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0.146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-0.023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0.880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-0.109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0.764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-0.188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0.393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0.655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-0.183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0.665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-0.268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-0.249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0.595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0.468</w:t>
            </w:r>
          </w:p>
        </w:tc>
      </w:tr>
      <w:tr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-0.145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0.347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0.594</w:t>
            </w:r>
          </w:p>
        </w:tc>
      </w:tr>
    </w:tbl>
    <w:p>
      <w:pPr>
        <w:spacing w:before="40" w:after="80"/>
      </w:pPr>
      <w:r>
        <w:rPr>
          <w:rFonts w:ascii="Times New Roman" w:hAnsi="Times New Roman" w:eastAsia="Times New Roman" w:cs="Times New Roman"/>
          <w:b w:val="0"/>
          <w:i w:val="0"/>
          <w:sz w:val="15"/>
        </w:rPr>
        <w:t xml:space="preserve">Seventy videos from a single high-volume tertiary spine center were excluded, leaving 195 videos. Platform comparisons used Kruskal-Wallis tests and Dunn pairwise tests with Bonferroni adjustment. Correlation </w:t>
      </w:r>
      <w:r>
        <w:rPr>
          <w:rFonts w:ascii="Times New Roman" w:hAnsi="Times New Roman" w:eastAsia="Times New Roman" w:cs="Times New Roman"/>
          <w:b w:val="0"/>
          <w:i w:val="1"/>
          <w:sz w:val="15"/>
          <w:iCs w:val="1"/>
        </w:rPr>
        <w:t>P</w:t>
      </w:r>
      <w:r>
        <w:rPr>
          <w:rFonts w:ascii="Times New Roman" w:hAnsi="Times New Roman" w:eastAsia="Times New Roman" w:cs="Times New Roman"/>
          <w:b w:val="0"/>
          <w:i w:val="0"/>
          <w:sz w:val="15"/>
        </w:rPr>
        <w:t xml:space="preserve"> values were adjusted by the Benjamini-Hochberg procedure within each platform. Institution and account names are not reported.</w:t>
      </w:r>
    </w:p>
    <w:p>
      <w:pPr>
        <w:keepNext/>
        <w:pageBreakBefore/>
        <w:spacing w:after="80"/>
      </w:pPr>
      <w:r>
        <w:rPr>
          <w:rFonts w:ascii="Arial" w:hAnsi="Arial" w:eastAsia="Arial" w:cs="Arial"/>
          <w:b/>
          <w:i w:val="0"/>
          <w:sz w:val="20"/>
        </w:rPr>
        <w:t>Supplementary Table S5 | Sensitivity analysis using 30-day time-standardized interaction counts</w:t>
      </w:r>
    </w:p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A. Platform comparisons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</w:tblGrid>
      <w:tr>
        <w:trPr>
          <w:tblHeader w:val="true"/>
        </w:trPr>
        <w:tc>
          <w:tcPr>
            <w:tcW w:type="dxa" w:w="18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Outcome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Bilibili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Kwai</w:t>
            </w:r>
          </w:p>
        </w:tc>
        <w:tc>
          <w:tcPr>
            <w:tcW w:type="dxa" w:w="7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H</w:t>
            </w:r>
          </w:p>
        </w:tc>
        <w:tc>
          <w:tcPr>
            <w:tcW w:type="dxa" w:w="9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Overall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  <w:tc>
          <w:tcPr>
            <w:tcW w:type="dxa" w:w="1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Epsilon-squared</w:t>
            </w:r>
          </w:p>
        </w:tc>
        <w:tc>
          <w:tcPr>
            <w:tcW w:type="dxa" w:w="11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 vs Kwai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TikTok vs Bilibili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Kwai vs Bilibili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 per 30 days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0.42 (0.1-2.44)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36.04 (15.5-90.07)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1.37 (0.49-3.93)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162.40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0.612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 per 30 days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 (0-0.02)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3.64 (1.22-10.45)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 (0.03-0.58)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160.11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0.603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 per 30 days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 (0.04-1.64)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7.09 (2.67-21.42)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0.14 (0-0.85)</w:t>
            </w:r>
          </w:p>
        </w:tc>
        <w:tc>
          <w:tcPr>
            <w:tcW w:type="dxa" w:w="7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120.99</w:t>
            </w:r>
          </w:p>
        </w:tc>
        <w:tc>
          <w:tcPr>
            <w:tcW w:type="dxa" w:w="9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0.454</w:t>
            </w:r>
          </w:p>
        </w:tc>
        <w:tc>
          <w:tcPr>
            <w:tcW w:type="dxa" w:w="11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0.686</w:t>
            </w:r>
          </w:p>
        </w:tc>
      </w:tr>
      <w:tr>
        <w:tc>
          <w:tcPr>
            <w:tcW w:type="dxa" w:w="18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 per 30 days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 (0-0.08)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4.06 (1.18-10.64)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 (0-0.55)</w:t>
            </w:r>
          </w:p>
        </w:tc>
        <w:tc>
          <w:tcPr>
            <w:tcW w:type="dxa" w:w="7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146.99</w:t>
            </w:r>
          </w:p>
        </w:tc>
        <w:tc>
          <w:tcPr>
            <w:tcW w:type="dxa" w:w="9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0.553</w:t>
            </w:r>
          </w:p>
        </w:tc>
        <w:tc>
          <w:tcPr>
            <w:tcW w:type="dxa" w:w="11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0.004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 w:cs="Arial"/>
          <w:b/>
          <w:i w:val="0"/>
          <w:sz w:val="17"/>
        </w:rPr>
        <w:t>Part B. Correlations between 30-day interaction counts and quality measures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Sample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30-day interaction indicator</w:t>
            </w:r>
          </w:p>
        </w:tc>
        <w:tc>
          <w:tcPr>
            <w:tcW w:type="dxa" w:w="2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Quality measure</w:t>
            </w:r>
          </w:p>
        </w:tc>
        <w:tc>
          <w:tcPr>
            <w:tcW w:type="dxa" w:w="14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>Spearman rho</w:t>
            </w:r>
          </w:p>
        </w:tc>
        <w:tc>
          <w:tcPr>
            <w:tcW w:type="dxa" w:w="12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Raw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  <w:tc>
          <w:tcPr>
            <w:tcW w:type="dxa" w:w="150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3"/>
              </w:rPr>
              <w:t xml:space="preserve">BH-adjusted </w:t>
            </w:r>
            <w:r>
              <w:rPr>
                <w:rFonts w:ascii="Arial" w:hAnsi="Arial" w:eastAsia="Arial" w:cs="Arial"/>
                <w:b/>
                <w:i w:val="1"/>
                <w:sz w:val="13"/>
                <w:iCs w:val="1"/>
              </w:rPr>
              <w:t>P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0.168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0.424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0.179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0.295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0.155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Overall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-0.092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-0.098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0.091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-0.162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0.385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-0.089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0.380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-0.114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-0.189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-0.098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0.151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-0.009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0.419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-0.013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0.896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0.927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0.135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0.184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0.552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-0.050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0.621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0.745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TikTok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-0.077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0.449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0.568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0.369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0.488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0.074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0.470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0.537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0.356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0.781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0.815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0.251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0.331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0.374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0.700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0.275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0.310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&lt;0.001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0.002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Kwai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0.016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0.873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0.404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0.571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0.643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0.821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-0.009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0.941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0.941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0.833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0.122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0.265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likes_30d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-0.032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0.232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0.199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-0.032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0.797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0.212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0.082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0.247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0.249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comments_30d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-0.252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0.038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0.133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0.272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0.025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-0.056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0.650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0.821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0.353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0.224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0.066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favorites_30d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-0.117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0.344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GQS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0.200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0.102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0.248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mDISCERN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0.117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0.340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0.529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JAMA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-0.233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0.056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OPLL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0.042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0.731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0.870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PEMAT_U_pct</w:t>
            </w:r>
          </w:p>
        </w:tc>
        <w:tc>
          <w:tcPr>
            <w:tcW w:type="dxa" w:w="1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0.268</w:t>
            </w:r>
          </w:p>
        </w:tc>
        <w:tc>
          <w:tcPr>
            <w:tcW w:type="dxa" w:w="1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0.027</w:t>
            </w:r>
          </w:p>
        </w:tc>
        <w:tc>
          <w:tcPr>
            <w:tcW w:type="dxa" w:w="15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0.226</w:t>
            </w:r>
          </w:p>
        </w:tc>
      </w:tr>
      <w:tr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Bilibili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shares_30d</w:t>
            </w:r>
          </w:p>
        </w:tc>
        <w:tc>
          <w:tcPr>
            <w:tcW w:type="dxa" w:w="2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PEMAT_A_pct</w:t>
            </w:r>
          </w:p>
        </w:tc>
        <w:tc>
          <w:tcPr>
            <w:tcW w:type="dxa" w:w="14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-0.130</w:t>
            </w:r>
          </w:p>
        </w:tc>
        <w:tc>
          <w:tcPr>
            <w:tcW w:type="dxa" w:w="12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0.289</w:t>
            </w:r>
          </w:p>
        </w:tc>
        <w:tc>
          <w:tcPr>
            <w:tcW w:type="dxa" w:w="1500"/>
            <w:vAlign w:val="center"/>
            <w:tcBorders>
              <w:bottom w:val="single" w:sz="12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3"/>
              </w:rPr>
              <w:t>0.529</w:t>
            </w:r>
          </w:p>
        </w:tc>
      </w:tr>
    </w:tbl>
    <w:p>
      <w:pPr>
        <w:spacing w:before="40" w:after="80"/>
      </w:pPr>
      <w:r>
        <w:rPr>
          <w:rFonts w:ascii="Times New Roman" w:hAnsi="Times New Roman" w:eastAsia="Times New Roman" w:cs="Times New Roman"/>
          <w:b w:val="0"/>
          <w:i w:val="0"/>
          <w:sz w:val="15"/>
        </w:rPr>
        <w:t xml:space="preserve">Thirty-day values were calculated as observed count divided by days online and multiplied by 30. They standardize exposure time but are not viewer-normalized engagement rates. </w:t>
      </w:r>
      <w:r>
        <w:rPr>
          <w:rFonts w:ascii="Times New Roman" w:hAnsi="Times New Roman" w:eastAsia="Times New Roman" w:cs="Times New Roman"/>
          <w:b w:val="0"/>
          <w:i w:val="1"/>
          <w:sz w:val="15"/>
          <w:iCs w:val="1"/>
        </w:rPr>
        <w:t>P</w:t>
      </w:r>
      <w:r>
        <w:rPr>
          <w:rFonts w:ascii="Times New Roman" w:hAnsi="Times New Roman" w:eastAsia="Times New Roman" w:cs="Times New Roman"/>
          <w:b w:val="0"/>
          <w:i w:val="0"/>
          <w:sz w:val="15"/>
        </w:rPr>
        <w:t xml:space="preserve"> values in Part B were adjusted by the Benjamini-Hochberg procedure within each sample.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S1–S5: OPLL video study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