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160" w:after="120" w:line="240" w:lineRule="auto"/>
        <w:jc w:val="center"/>
        <w:widowControl w:val="0"/>
      </w:pPr>
      <w:r>
        <w:rPr>
          <w:rFonts w:ascii="Times New Roman" w:hAnsi="Times New Roman" w:eastAsia="Times New Roman" w:cs="Times New Roman"/>
          <w:b/>
          <w:i w:val="0"/>
          <w:sz w:val="30"/>
        </w:rPr>
        <w:t>Supplementary Tables S6–S10: Scoring criteria</w:t>
      </w:r>
    </w:p>
    <w:p>
      <w:pPr>
        <w:keepNext w:val="0"/>
        <w:spacing w:before="0" w:after="200" w:line="240" w:lineRule="auto"/>
        <w:jc w:val="center"/>
        <w:widowControl w:val="0"/>
      </w:pPr>
      <w:r>
        <w:rPr>
          <w:rFonts w:ascii="Times New Roman" w:hAnsi="Times New Roman" w:eastAsia="Times New Roman" w:cs="Times New Roman"/>
          <w:b/>
          <w:i w:val="0"/>
          <w:sz w:val="24"/>
        </w:rPr>
        <w:t>OPLL video quality, reliability, transparency, content coverage, understandability, and actionability</w:t>
      </w:r>
    </w:p>
    <w:p>
      <w:pPr>
        <w:keepNext w:val="0"/>
        <w:spacing w:before="0" w:after="120" w:line="252" w:lineRule="auto"/>
        <w:widowControl w:val="0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Tables S6–S9 describe the operational criteria for four established instruments, and Table S10 provides the study-specific OPLL content checklist. Researchers scored videos independently using audiovisual content and publicly displayed metadata. Source-reference numbers below match the main manuscript.</w:t>
      </w:r>
    </w:p>
    <w:p>
      <w:pPr>
        <w:keepNext/>
        <w:spacing w:before="80" w:after="60" w:line="240" w:lineRule="auto"/>
        <w:widowControl w:val="0"/>
      </w:pPr>
      <w:r>
        <w:rPr>
          <w:rFonts w:ascii="Arial" w:hAnsi="Arial" w:eastAsia="Arial" w:cs="Arial"/>
          <w:b/>
          <w:i w:val="0"/>
          <w:sz w:val="19"/>
        </w:rPr>
        <w:t>Supplementary Table S6. Global Quality Score (GQS)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Score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Quality level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Operational standard</w:t>
            </w:r>
          </w:p>
        </w:tc>
      </w:tr>
      <w:tr>
        <w:trPr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Poor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presentation is difficult to follow; most relevant information is absent; the video has little or no educational value for patients.</w:t>
            </w:r>
          </w:p>
        </w:tc>
      </w:tr>
      <w:tr>
        <w:trPr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Generally poor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Some information is provided, but the flow is weak and several important topics are missing; usefulness is very limited.</w:t>
            </w:r>
          </w:p>
        </w:tc>
      </w:tr>
      <w:tr>
        <w:trPr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3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Moderate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video is reasonably organized and discusses some relevant information adequately, but important content remains incomplete; it is somewhat useful.</w:t>
            </w:r>
          </w:p>
        </w:tc>
      </w:tr>
      <w:tr>
        <w:trPr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4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Good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information is well organized and most relevant topics are addressed, although minor omissions remain; the video is useful for patients.</w:t>
            </w:r>
          </w:p>
        </w:tc>
      </w:tr>
      <w:tr>
        <w:trPr>
          <w:cantSplit/>
        </w:trPr>
        <w:tc>
          <w:tcPr>
            <w:tcW w:type="dxa" w:w="10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5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Excellent</w:t>
            </w:r>
          </w:p>
        </w:tc>
        <w:tc>
          <w:tcPr>
            <w:tcW w:type="dxa" w:w="708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video is clear, coherent, and comprehensive, with strong educational value and high usefulness for patients.</w:t>
            </w:r>
          </w:p>
        </w:tc>
      </w:tr>
    </w:tbl>
    <w:p>
      <w:pPr>
        <w:keepNext w:val="0"/>
        <w:spacing w:before="40" w:after="10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/>
          <w:sz w:val="16"/>
        </w:rPr>
        <w:t>Note. The GQS is a global judgment rather than an item-sum scale. In this study, scores of 1–2 were classified as low quality, 3 as moderate quality, and 4–5 as high quality. Higher scores indicate better overall educational quality and flow. Source: reference 14.</w:t>
      </w:r>
    </w:p>
    <w:p>
      <w:pPr>
        <w:keepNext/>
        <w:spacing w:before="80" w:after="60" w:line="240" w:lineRule="auto"/>
        <w:widowControl w:val="0"/>
      </w:pPr>
      <w:r>
        <w:rPr>
          <w:rFonts w:ascii="Arial" w:hAnsi="Arial" w:eastAsia="Arial" w:cs="Arial"/>
          <w:b/>
          <w:i w:val="0"/>
          <w:sz w:val="19"/>
        </w:rPr>
        <w:t>Supplementary Table S7. Modified DISCERN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Item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Criterion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Operational definition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Scoring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1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Clear aim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purpose or main question of the video is explicit and understandable.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Yes = 1; No = 0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2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Reliable information sources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content is supported by identifiable credible sources, such as cited publications, clinical guidelines, or appropriately qualified medical speakers.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Yes = 1; No = 0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3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Balanced and unbiased presentation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Benefits, limitations, alternatives, or risks are presented without obvious promotional or one-sided framing.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Yes = 1; No = 0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4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Additional sources provided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video or accompanying information directs viewers to additional credible resources for further information.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Yes = 1; No = 0</w:t>
            </w:r>
          </w:p>
        </w:tc>
      </w:tr>
      <w:tr>
        <w:trPr>
          <w:cantSplit/>
        </w:trPr>
        <w:tc>
          <w:tcPr>
            <w:tcW w:type="dxa" w:w="73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5</w:t>
            </w:r>
          </w:p>
        </w:tc>
        <w:tc>
          <w:tcPr>
            <w:tcW w:type="dxa" w:w="198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Uncertainty or controversy acknowledged</w:t>
            </w:r>
          </w:p>
        </w:tc>
        <w:tc>
          <w:tcPr>
            <w:tcW w:type="dxa" w:w="5783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Relevant areas of uncertainty, controversy, evidence limitation, or individual variation are mentioned.</w:t>
            </w:r>
          </w:p>
        </w:tc>
        <w:tc>
          <w:tcPr>
            <w:tcW w:type="dxa" w:w="141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Yes = 1; No = 0</w:t>
            </w:r>
          </w:p>
        </w:tc>
      </w:tr>
    </w:tbl>
    <w:p>
      <w:pPr>
        <w:keepNext w:val="0"/>
        <w:spacing w:before="40" w:after="10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/>
          <w:sz w:val="16"/>
        </w:rPr>
        <w:t>Note. The total modified DISCERN score ranges from 0 to 5 and is obtained by summing the five binary items. Higher scores indicate greater reliability. Sources: references 15 and 16.</w:t>
      </w:r>
    </w:p>
    <w:p>
      <w:pPr>
        <w:keepNext/>
        <w:spacing w:before="80" w:after="60" w:line="240" w:lineRule="auto"/>
        <w:widowControl w:val="0"/>
      </w:pPr>
      <w:r>
        <w:rPr>
          <w:rFonts w:ascii="Arial" w:hAnsi="Arial" w:eastAsia="Arial" w:cs="Arial"/>
          <w:b/>
          <w:i w:val="0"/>
          <w:sz w:val="19"/>
        </w:rPr>
        <w:t>Supplementary Table S8. Journal of the American Medical Association (JAMA) benchmark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Domain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Operational criterion for social-media videos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6"/>
              </w:rPr>
              <w:t>Scoring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Authorship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creator, speaker, or responsible organization is identifiable, and relevant qualifications or institutional affiliations are stated or verifiable from the account.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Meets criterion = 1; does not meet = 0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Attribution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References or source materials supporting the medical content are identified; relevant copyright attribution is provided when applicable.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Meets criterion = 1; does not meet = 0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Disclosure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Ownership, sponsorship, advertising, commercial support, or potential conflicts of interest are disclosed when applicable.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Meets criterion = 1; does not meet = 0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Currency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The publication date is available, and an update date or indication of revision is provided when relevant.</w:t>
            </w:r>
          </w:p>
        </w:tc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</w:rPr>
              <w:t>Meets criterion = 1; does not meet = 0</w:t>
            </w:r>
          </w:p>
        </w:tc>
      </w:tr>
    </w:tbl>
    <w:p>
      <w:pPr>
        <w:keepNext w:val="0"/>
        <w:spacing w:before="40" w:after="10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/>
          <w:sz w:val="16"/>
        </w:rPr>
        <w:t>Note. The JAMA score ranges from 0 to 4. Each satisfied benchmark contributes 1 point. Higher scores indicate greater transparency and accountability of the information source. Source: reference 17.</w:t>
      </w:r>
    </w:p>
    <w:p>
      <w:pPr>
        <w:keepNext/>
        <w:spacing w:before="80" w:after="60" w:line="240" w:lineRule="auto"/>
        <w:widowControl w:val="0"/>
      </w:pPr>
      <w:r>
        <w:rPr>
          <w:rFonts w:ascii="Arial" w:hAnsi="Arial" w:eastAsia="Arial" w:cs="Arial"/>
          <w:b/>
          <w:i w:val="0"/>
          <w:sz w:val="19"/>
        </w:rPr>
        <w:t>Supplementary Table S9. Patient Education Materials Assessment Tool for audiovisual materials (PEMAT-A/V)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Topic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Item no.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Operational criterion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 w:cs="Arial"/>
                <w:b/>
                <w:i w:val="0"/>
                <w:sz w:val="15"/>
              </w:rPr>
              <w:t>Response options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15"/>
              </w:rPr>
              <w:t>DOMAIN: UNDERSTANDABILITY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Content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The purpose of the video is immediately clear.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Word choice and style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3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Common, everyday language is used.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Word choice and style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4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Medical terminology is used only when needed and is explained in plain language.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Word choice and style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5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Statements are primarily written or spoken in the active voice.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Organization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8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Information is divided into short, manageable sections.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very short material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Organization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9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Sections use informative headings or equivalent signposting.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very short material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Organization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10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Information is presented in a logical sequence.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Organization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11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The video provides a concise summary of the main points.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very short material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Layout and design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12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Visual cues are used to emphasize key information when applicable to the audiovisual format.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video-only format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Layout and design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13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On-screen text is legible and easy to read.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no text or all text narrated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Layout and design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14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Spoken words can be heard clearly and are delivered at an understandable pace.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no narration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Visual aids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18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Illustrations and photographs are clear and uncluttered.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no visual aids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Visual aids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19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Tables are simple and use short, clear row and column headings.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no tables = N/A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15"/>
              </w:rPr>
              <w:t>DOMAIN: ACTIONABILITY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Arial" w:hAnsi="Arial" w:eastAsia="Arial"/>
                <w:b/>
                <w:i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Actionability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20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At least one specific action that the viewer can take is clearly identified.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Actionability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21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The viewer is addressed directly when recommended actions are described.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Actionability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22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Recommended actions are divided into explicit, manageable steps.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</w:t>
            </w:r>
          </w:p>
        </w:tc>
      </w:tr>
      <w:tr>
        <w:trPr>
          <w:cantSplit/>
        </w:trPr>
        <w:tc>
          <w:tcPr>
            <w:tcW w:type="dxa" w:w="192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Actionability</w:t>
            </w:r>
          </w:p>
        </w:tc>
        <w:tc>
          <w:tcPr>
            <w:tcW w:type="dxa" w:w="90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25</w:t>
            </w:r>
          </w:p>
        </w:tc>
        <w:tc>
          <w:tcPr>
            <w:tcW w:type="dxa" w:w="521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The video explains how charts, graphs, tables, or diagrams should be used to support an action.</w:t>
            </w:r>
          </w:p>
        </w:tc>
        <w:tc>
          <w:tcPr>
            <w:tcW w:type="dxa" w:w="226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28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5"/>
              </w:rPr>
              <w:t>Disagree = 0; Agree = 1; no such visual displays = N/A</w:t>
            </w:r>
          </w:p>
        </w:tc>
      </w:tr>
    </w:tbl>
    <w:p>
      <w:pPr>
        <w:keepNext w:val="0"/>
        <w:spacing w:before="40" w:after="10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/>
          <w:sz w:val="16"/>
        </w:rPr>
        <w:t>Note. A very short audiovisual material is defined by AHRQ as a video or multimedia presentation lasting less than 1 minute, or a multimedia presentation containing six or fewer slides/screens. N/A items are excluded from the denominator. Source: reference 11 and the AHRQ PEMAT User’s Guide (reference 18).</w:t>
      </w:r>
    </w:p>
    <w:p>
      <w:pPr>
        <w:pStyle w:val="Heading2"/>
        <w:keepNext/>
        <w:widowControl w:val="0"/>
      </w:pPr>
      <w:r>
        <w:rPr>
          <w:rFonts w:ascii="Arial" w:hAnsi="Arial" w:eastAsia="Arial" w:cs="Arial"/>
          <w:b/>
          <w:i w:val="0"/>
          <w:sz w:val="21"/>
        </w:rPr>
        <w:t>PEMAT-A/V scoring</w:t>
      </w:r>
    </w:p>
    <w:p>
      <w:pPr>
        <w:pStyle w:val="ListBullet"/>
        <w:keepNext w:val="0"/>
        <w:spacing w:before="0" w:after="2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 w:val="0"/>
          <w:sz w:val="17"/>
        </w:rPr>
        <w:t>PEMAT understandability score (PEMAT-U) = (sum of understandability points / number of applicable understandability items) × 100.</w:t>
      </w:r>
    </w:p>
    <w:p>
      <w:pPr>
        <w:pStyle w:val="ListBullet"/>
        <w:keepNext w:val="0"/>
        <w:spacing w:before="0" w:after="2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 w:val="0"/>
          <w:sz w:val="17"/>
        </w:rPr>
        <w:t>PEMAT actionability score (PEMAT-A) = (sum of actionability points / number of applicable actionability items) × 100.</w:t>
      </w:r>
    </w:p>
    <w:p>
      <w:pPr>
        <w:pStyle w:val="ListBullet"/>
        <w:keepNext w:val="0"/>
        <w:spacing w:before="0" w:after="20" w:line="240" w:lineRule="auto"/>
        <w:widowControl w:val="0"/>
      </w:pPr>
      <w:r>
        <w:rPr>
          <w:rFonts w:ascii="Times New Roman" w:hAnsi="Times New Roman" w:eastAsia="Times New Roman" w:cs="Times New Roman"/>
          <w:b w:val="0"/>
          <w:i w:val="0"/>
          <w:sz w:val="17"/>
        </w:rPr>
        <w:t>Higher percentages indicate greater understandability or actionability. For the prespecified analyses in this study, scores of 70% or higher were categorized as adequate; this threshold was an analytical classification and does not replace item-level interpretation.</w:t>
      </w:r>
    </w:p>
    <w:p>
      <w:pPr>
        <w:keepNext/>
        <w:spacing w:before="80" w:after="60" w:line="240" w:lineRule="auto"/>
        <w:pageBreakBefore/>
        <w:widowControl w:val="0"/>
      </w:pPr>
      <w:r>
        <w:rPr>
          <w:rFonts w:ascii="Arial" w:hAnsi="Arial" w:eastAsia="Arial" w:cs="Arial"/>
          <w:b/>
          <w:i w:val="0"/>
          <w:sz w:val="19"/>
        </w:rPr>
        <w:t>Supplementary Table S10. Study-specific OPLL content scoring criteria</w:t>
      </w:r>
    </w:p>
    <w:p>
      <w:pPr>
        <w:keepNext/>
        <w:spacing w:after="100"/>
      </w:pPr>
      <w:r>
        <w:rPr>
          <w:rFonts w:ascii="Times New Roman" w:hAnsi="Times New Roman" w:eastAsia="Times New Roman" w:cs="Times New Roman"/>
          <w:b w:val="0"/>
          <w:i w:val="0"/>
          <w:sz w:val="19"/>
        </w:rPr>
        <w:t>Each item is scored 1 when its criterion is met and 0 otherwise. The 15-item sum ranges from 0 to 15. This study-specific checklist measures content coverage and is not a validated clinical-accuracy instrument.</w:t>
      </w:r>
    </w:p>
    <w:tbl>
      <w:tblPr>
        <w:tblW w:type="dxa" w:w="10170"/>
        <w:tblLayout w:type="fixed"/>
        <w:tblLook w:firstColumn="1" w:firstRow="1" w:lastColumn="0" w:lastRow="0" w:noHBand="0" w:noVBand="1" w:val="04A0"/>
        <w:tblInd w:type="dxa" w:w="100"/>
        <w:tblCellMar>
          <w:top w:w="70" w:type="dxa"/>
          <w:bottom w:w="70" w:type="dxa"/>
          <w:left w:w="100" w:type="dxa"/>
          <w:right w:w="100" w:type="dxa"/>
        </w:tblCellMar>
      </w:tblPr>
      <w:tblGrid>
        <w:gridCol w:w="750"/>
        <w:gridCol w:w="1750"/>
        <w:gridCol w:w="3950"/>
        <w:gridCol w:w="3720"/>
      </w:tblGrid>
      <w:tr>
        <w:trPr>
          <w:cantSplit/>
          <w:tblHeader/>
        </w:trPr>
        <w:tc>
          <w:tcPr>
            <w:tcW w:type="dxa" w:w="75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Item</w:t>
            </w:r>
          </w:p>
        </w:tc>
        <w:tc>
          <w:tcPr>
            <w:tcW w:type="dxa" w:w="175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Content element</w:t>
            </w:r>
          </w:p>
        </w:tc>
        <w:tc>
          <w:tcPr>
            <w:tcW w:type="dxa" w:w="395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Criterion for 1 point</w:t>
            </w:r>
          </w:p>
        </w:tc>
        <w:tc>
          <w:tcPr>
            <w:tcW w:type="dxa" w:w="3720"/>
            <w:vAlign w:val="center"/>
            <w:tcBorders>
              <w:top w:val="single" w:sz="12" w:space="0" w:color="000000"/>
              <w:bottom w:val="single" w:sz="8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Scoring note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Definition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Correctly describes OPLL as ectopic ossification or bone formation in the posterior longitudinal ligament.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 misleading description as an ordinary osteophyte or simple calcification does not qualify.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O2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Predilection site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States that OPLL occurs in the spine and that cervical involvement is clinically important.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Epidemiological figures are not required.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O3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Causes or risk factors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Describes the aetiology or risk factors as multifactorial without attributing OPLL to a single cause.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Attribution solely to posture or trauma does not qualify.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O4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Common symptoms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Mentions a plausible symptom such as neck or shoulder discomfort, upper-limb numbness, pain, or sensory disturbance.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At least one accurate symptom is sufficient.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O5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Myelopathic manifestations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Mentions hand clumsiness, gait disturbance, limb weakness, or another manifestation of spinal-cord dysfunction.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This item represents an important patient-education warning sign.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O6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Risk after trauma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Notes that neurological function may deteriorate after minor trauma in patients with substantial OPLL.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Avoid absolute claims that any minor trauma will cause paralysis.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O7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Radiography or CT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Mentions radiography or computed tomography for detecting or evaluating ossification.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Accurate mention of either modality is sufficient.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O8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Value of CT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Explains the value of CT for assessing the morphology, extent, or canal occupancy of ossification.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CT should be described as advantageous for depicting ossification.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O9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Value of MRI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Explains that MRI evaluates neural compression and spinal-cord signal change.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 claim that MRI is the best test for depicting ossification does not qualify.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O10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Non-surgical management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States that asymptomatic or mildly symptomatic patients do not invariably require surgery and may be observed or managed conservatively.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Symptomatic improvement does not imply elimination of ossification.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O11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Surgical indications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Identifies progressive or clinically important myelopathy or neurological impairment as a major surgical consideration.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Avoid absolute claims that every radiographic diagnosis requires surgery.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O12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Anterior and posterior strategies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States that both anterior and posterior surgical strategies may be used for OPLL.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Listing every named procedure is unnecessary.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O13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Individualized procedure selection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States that approach selection depends on factors such as ossification extent, canal occupancy, K-line status, or cervical alignment.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Mention of one or more appropriate determinants is sufficient.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O14</w:t>
            </w:r>
          </w:p>
        </w:tc>
        <w:tc>
          <w:tcPr>
            <w:tcW w:type="dxa" w:w="17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Natural history</w:t>
            </w:r>
          </w:p>
        </w:tc>
        <w:tc>
          <w:tcPr>
            <w:tcW w:type="dxa" w:w="395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States that OPLL may progress over time but that radiographic progression does not invariably parallel symptoms.</w:t>
            </w:r>
          </w:p>
        </w:tc>
        <w:tc>
          <w:tcPr>
            <w:tcW w:type="dxa" w:w="3720"/>
            <w:vAlign w:val="center"/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Avoid absolute statements about rapid progression.</w:t>
            </w:r>
          </w:p>
        </w:tc>
      </w:tr>
      <w:tr>
        <w:trPr>
          <w:cantSplit/>
        </w:trPr>
        <w:tc>
          <w:tcPr>
            <w:tcW w:type="dxa" w:w="750"/>
            <w:vAlign w:val="center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O15</w:t>
            </w:r>
          </w:p>
        </w:tc>
        <w:tc>
          <w:tcPr>
            <w:tcW w:type="dxa" w:w="1750"/>
            <w:vAlign w:val="center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Follow-up or advice to seek care</w:t>
            </w:r>
          </w:p>
        </w:tc>
        <w:tc>
          <w:tcPr>
            <w:tcW w:type="dxa" w:w="3950"/>
            <w:vAlign w:val="center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Recommends follow-up or professional assessment when neurological symptoms progress.</w:t>
            </w:r>
          </w:p>
        </w:tc>
        <w:tc>
          <w:tcPr>
            <w:tcW w:type="dxa" w:w="3720"/>
            <w:vAlign w:val="center"/>
            <w:tcBorders>
              <w:bottom w:val="single" w:sz="12" w:space="0" w:color="000000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8"/>
              </w:rPr>
              <w:t>At least one appropriate follow-up or care-seeking recommendation is sufficient.</w:t>
            </w:r>
          </w:p>
        </w:tc>
      </w:tr>
    </w:tbl>
    <w:p>
      <w:pPr>
        <w:spacing w:before="100" w:after="100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Abbreviations: OPLL, ossification of the posterior longitudinal ligament; CT, computed tomography; MRI, magnetic resonance imaging. O7 assesses mention of radiography or CT, whereas O8 requires an explanation of the value of CT.</w:t>
      </w:r>
    </w:p>
    <w:p>
      <w:pPr>
        <w:pStyle w:val="Heading1"/>
        <w:keepNext/>
        <w:pageBreakBefore/>
        <w:spacing w:before="200"/>
      </w:pPr>
      <w:r>
        <w:rPr>
          <w:rFonts w:ascii="Arial" w:hAnsi="Arial" w:eastAsia="Arial" w:cs="Arial"/>
          <w:b/>
          <w:i w:val="0"/>
          <w:sz w:val="22"/>
        </w:rPr>
        <w:t>Source references (numbering as in the main manuscript)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11. Shoemaker SJ, Wolf MS, Brach C. Development of the Patient Education Materials Assessment Tool (PEMAT): a new measure of understandability and actionability for print and audiovisual patient information. Patient Educ Couns. (2014) 96:395–403. doi: 10.1016/j.pec.2014.05.027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14. Bernard A, Langille M, Hughes S, Rose C, Leddin D, Veldhuyzen van Zanten S. A systematic review of patient inflammatory bowel disease information resources on the World Wide Web. Am J Gastroenterol. (2007) 102:2070–2077. doi: 10.1111/j.1572-0241.2007.01325.x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15. Charnock D, Shepperd S, Needham G, Gann R. DISCERN: an instrument for judging the quality of written consumer health information on treatment choices. J Epidemiol Community Health. (1999) 53:105–111. doi: 10.1136/jech.53.2.105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16. Singh AG, Singh S, Singh PP. YouTube for information on rheumatoid arthritis—a wakeup call? J Rheumatol. (2012) 39:899–903. doi: 10.3899/jrheum.111114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17. Silberg WM, Lundberg GD, Musacchio RA. Assessing, controlling, and assuring the quality of medical information on the Internet: caveant lector et viewor—let the reader and viewer beware. JAMA. (1997) 277:1244–1245. doi: 10.1001/jama.1997.03540390074039</w:t>
      </w:r>
    </w:p>
    <w:p>
      <w:pPr>
        <w:keepLines/>
        <w:spacing w:after="100" w:line="252" w:lineRule="auto"/>
        <w:ind w:left="369" w:hanging="369"/>
      </w:pPr>
      <w:r>
        <w:rPr>
          <w:rFonts w:ascii="Times New Roman" w:hAnsi="Times New Roman" w:eastAsia="Times New Roman" w:cs="Times New Roman"/>
          <w:b w:val="0"/>
          <w:i w:val="0"/>
          <w:sz w:val="18"/>
        </w:rPr>
        <w:t>18. Agency for Healthcare Research and Quality. The Patient Education Materials Assessment Tool (PEMAT) and user's guide. Rockville, MD: AHRQ; 2013. https://www.ahrq.gov/health-literacy/patient-education/pemat.html (accessed August 30, 2026).</w:t>
      </w:r>
    </w:p>
    <w:sectPr w:rsidR="00FC693F" w:rsidRPr="0006063C" w:rsidSect="00034616">
      <w:footerReference w:type="default" r:id="rId9"/>
      <w:headerReference w:type="default" r:id="rId16"/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oi.org/10.1016/j.pec.2014.05.027" TargetMode="External"/><Relationship Id="rId11" Type="http://schemas.openxmlformats.org/officeDocument/2006/relationships/hyperlink" Target="https://doi.org/10.1111/j.1572-0241.2007.01325.x" TargetMode="External"/><Relationship Id="rId12" Type="http://schemas.openxmlformats.org/officeDocument/2006/relationships/hyperlink" Target="https://doi.org/10.1136/jech.53.2.105" TargetMode="External"/><Relationship Id="rId13" Type="http://schemas.openxmlformats.org/officeDocument/2006/relationships/hyperlink" Target="https://doi.org/10.3899/jrheum.111114" TargetMode="External"/><Relationship Id="rId14" Type="http://schemas.openxmlformats.org/officeDocument/2006/relationships/hyperlink" Target="https://doi.org/10.1001/jama.1997.03540390074039" TargetMode="External"/><Relationship Id="rId15" Type="http://schemas.openxmlformats.org/officeDocument/2006/relationships/hyperlink" Target="https://www.ahrq.gov/health-literacy/patient-education/pemat.html" TargetMode="External"/><Relationship Id="rId1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OPLL study: Supplementary scoring criteria S6–S10</dc:title>
  <dc:subject>OPLL video content and educational quality study</dc:subject>
  <dc:creator>Xuerui Zhu; Shaoguang Zhou; Ruilong Chen; Weiqing Qian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