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89118">
      <w:pPr>
        <w:spacing w:line="360" w:lineRule="auto"/>
        <w:rPr>
          <w:rFonts w:ascii="Times New Roman" w:hAnsi="Times New Roman" w:cs="Times New Roman"/>
          <w:b/>
          <w:bCs/>
          <w:sz w:val="24"/>
          <w:szCs w:val="24"/>
        </w:rPr>
      </w:pPr>
      <w:bookmarkStart w:id="3" w:name="_GoBack"/>
      <w:bookmarkEnd w:id="3"/>
      <w:r>
        <w:rPr>
          <w:rFonts w:ascii="Times New Roman" w:hAnsi="Times New Roman" w:cs="Times New Roman"/>
          <w:b/>
          <w:bCs/>
          <w:sz w:val="24"/>
          <w:szCs w:val="24"/>
        </w:rPr>
        <w:t>Supplemental Figure legends</w:t>
      </w:r>
    </w:p>
    <w:p w14:paraId="14B6D8D4">
      <w:pPr>
        <w:spacing w:line="480" w:lineRule="auto"/>
        <w:rPr>
          <w:rFonts w:ascii="Times New Roman" w:hAnsi="Times New Roman" w:eastAsia="宋体" w:cs="Times New Roman"/>
          <w:color w:val="000000" w:themeColor="text1"/>
          <w:sz w:val="24"/>
          <w:szCs w:val="24"/>
          <w:lang w:val="en-US"/>
          <w14:textFill>
            <w14:solidFill>
              <w14:schemeClr w14:val="tx1"/>
            </w14:solidFill>
          </w14:textFill>
        </w:rPr>
      </w:pPr>
      <w:r>
        <w:rPr>
          <w:rFonts w:ascii="Times New Roman" w:hAnsi="Times New Roman" w:cs="Times New Roman"/>
          <w:b/>
          <w:bCs/>
          <w:sz w:val="24"/>
          <w:szCs w:val="24"/>
        </w:rPr>
        <w:t xml:space="preserve">Figure S1. </w:t>
      </w:r>
      <w:r>
        <w:rPr>
          <w:rFonts w:ascii="Times New Roman" w:hAnsi="Times New Roman" w:cs="Times New Roman"/>
          <w:color w:val="000000"/>
          <w:kern w:val="0"/>
          <w:sz w:val="24"/>
          <w:szCs w:val="24"/>
          <w:lang w:bidi="ar"/>
        </w:rPr>
        <w:t>Analysis of the TIMER 2.0 database revealed that the KPNA2 gene is highly expressed in various cancer tissues.</w:t>
      </w:r>
      <w:r>
        <w:rPr>
          <w:rFonts w:ascii="Times New Roman" w:hAnsi="Times New Roman" w:cs="Times New Roman"/>
          <w:color w:val="000000"/>
          <w:kern w:val="0"/>
          <w:sz w:val="24"/>
          <w:szCs w:val="24"/>
          <w:lang w:val="en-US" w:bidi="ar"/>
        </w:rPr>
        <w:t xml:space="preserve"> </w:t>
      </w:r>
      <w:r>
        <w:rPr>
          <w:rFonts w:ascii="Times New Roman" w:hAnsi="Times New Roman" w:eastAsia="宋体" w:cs="Times New Roman"/>
          <w:color w:val="000000" w:themeColor="text1"/>
          <w:sz w:val="24"/>
          <w:szCs w:val="24"/>
          <w14:textFill>
            <w14:solidFill>
              <w14:schemeClr w14:val="tx1"/>
            </w14:solidFill>
          </w14:textFill>
        </w:rPr>
        <w:t>KPNA2 expression was significantly elevated in tumor tissues relative to normal tissues, including bladder urothelial carcinoma (BLCA)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breast invasive carcinoma (BRCA) (***</w:t>
      </w:r>
      <w:r>
        <w:rPr>
          <w:rFonts w:ascii="Times New Roman" w:hAnsi="Times New Roman" w:eastAsia="宋体" w:cs="Times New Roman"/>
          <w:i/>
          <w:color w:val="000000" w:themeColor="text1"/>
          <w:sz w:val="24"/>
          <w:szCs w:val="24"/>
          <w14:textFill>
            <w14:solidFill>
              <w14:schemeClr w14:val="tx1"/>
            </w14:solidFill>
          </w14:textFill>
        </w:rPr>
        <w:t xml:space="preserve">p </w:t>
      </w:r>
      <w:r>
        <w:rPr>
          <w:rFonts w:ascii="Times New Roman" w:hAnsi="Times New Roman" w:eastAsia="宋体" w:cs="Times New Roman"/>
          <w:color w:val="000000" w:themeColor="text1"/>
          <w:sz w:val="24"/>
          <w:szCs w:val="24"/>
          <w14:textFill>
            <w14:solidFill>
              <w14:schemeClr w14:val="tx1"/>
            </w14:solidFill>
          </w14:textFill>
        </w:rPr>
        <w:t>&lt; 0.001), cervical squamous cell carcinoma and endocervical adenocarcinoma (CESC)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0.01), cholangiocarcinoma (CHOL)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colon adenocarcinoma (COAD)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esophageal carcinoma (ESCA)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head and neck squamous cell carcinoma (HNSC)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kidney chromophobe (KICH)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kidney renal clear cell carcinoma (KIRC)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0.05), liver hepatocellular carcinoma (LIHC)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lung adenocarcinoma (LUAD) (***</w:t>
      </w:r>
      <w:r>
        <w:rPr>
          <w:rFonts w:ascii="Times New Roman" w:hAnsi="Times New Roman" w:eastAsia="宋体" w:cs="Times New Roman"/>
          <w:i/>
          <w:color w:val="000000" w:themeColor="text1"/>
          <w:sz w:val="24"/>
          <w:szCs w:val="24"/>
          <w14:textFill>
            <w14:solidFill>
              <w14:schemeClr w14:val="tx1"/>
            </w14:solidFill>
          </w14:textFill>
        </w:rPr>
        <w:t xml:space="preserve">p </w:t>
      </w:r>
      <w:r>
        <w:rPr>
          <w:rFonts w:ascii="Times New Roman" w:hAnsi="Times New Roman" w:eastAsia="宋体" w:cs="Times New Roman"/>
          <w:color w:val="000000" w:themeColor="text1"/>
          <w:sz w:val="24"/>
          <w:szCs w:val="24"/>
          <w14:textFill>
            <w14:solidFill>
              <w14:schemeClr w14:val="tx1"/>
            </w14:solidFill>
          </w14:textFill>
        </w:rPr>
        <w:t>&lt; 0.001), lung squamous cell carcinoma (LUSC) (***</w:t>
      </w:r>
      <w:r>
        <w:rPr>
          <w:rFonts w:ascii="Times New Roman" w:hAnsi="Times New Roman" w:eastAsia="宋体" w:cs="Times New Roman"/>
          <w:i/>
          <w:color w:val="000000" w:themeColor="text1"/>
          <w:sz w:val="24"/>
          <w:szCs w:val="24"/>
          <w14:textFill>
            <w14:solidFill>
              <w14:schemeClr w14:val="tx1"/>
            </w14:solidFill>
          </w14:textFill>
        </w:rPr>
        <w:t xml:space="preserve">p </w:t>
      </w:r>
      <w:r>
        <w:rPr>
          <w:rFonts w:ascii="Times New Roman" w:hAnsi="Times New Roman" w:eastAsia="宋体" w:cs="Times New Roman"/>
          <w:color w:val="000000" w:themeColor="text1"/>
          <w:sz w:val="24"/>
          <w:szCs w:val="24"/>
          <w14:textFill>
            <w14:solidFill>
              <w14:schemeClr w14:val="tx1"/>
            </w14:solidFill>
          </w14:textFill>
        </w:rPr>
        <w:t>&lt; 0.001), pheochromocytoma and paraganglioma (PCPG)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0.05), prostate adenocarcinoma (PRAD) (***</w:t>
      </w:r>
      <w:r>
        <w:rPr>
          <w:rFonts w:ascii="Times New Roman" w:hAnsi="Times New Roman" w:eastAsia="宋体" w:cs="Times New Roman"/>
          <w:i/>
          <w:color w:val="000000" w:themeColor="text1"/>
          <w:sz w:val="24"/>
          <w:szCs w:val="24"/>
          <w14:textFill>
            <w14:solidFill>
              <w14:schemeClr w14:val="tx1"/>
            </w14:solidFill>
          </w14:textFill>
        </w:rPr>
        <w:t xml:space="preserve">p </w:t>
      </w:r>
      <w:r>
        <w:rPr>
          <w:rFonts w:ascii="Times New Roman" w:hAnsi="Times New Roman" w:eastAsia="宋体" w:cs="Times New Roman"/>
          <w:color w:val="000000" w:themeColor="text1"/>
          <w:sz w:val="24"/>
          <w:szCs w:val="24"/>
          <w14:textFill>
            <w14:solidFill>
              <w14:schemeClr w14:val="tx1"/>
            </w14:solidFill>
          </w14:textFill>
        </w:rPr>
        <w:t>&lt; 0.001), rectum adenocarcinoma (READ)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stomach adenocarcinoma (STAD)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thyroid carcinoma (THCA)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and uterine corpus endometrial carcinoma (UCEC)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w:t>
      </w:r>
    </w:p>
    <w:p w14:paraId="42742329">
      <w:pPr>
        <w:spacing w:line="480" w:lineRule="auto"/>
        <w:rPr>
          <w:rFonts w:ascii="Times New Roman" w:hAnsi="Times New Roman" w:eastAsia="宋体" w:cs="Times New Roman"/>
          <w:color w:val="000000" w:themeColor="text1"/>
          <w:sz w:val="24"/>
          <w:szCs w:val="24"/>
          <w:lang w:val="en-US"/>
          <w14:textFill>
            <w14:solidFill>
              <w14:schemeClr w14:val="tx1"/>
            </w14:solidFill>
          </w14:textFill>
        </w:rPr>
      </w:pPr>
    </w:p>
    <w:p w14:paraId="41B8A7E2">
      <w:pPr>
        <w:spacing w:line="480" w:lineRule="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cs="Times New Roman"/>
          <w:b/>
          <w:bCs/>
          <w:sz w:val="24"/>
          <w:szCs w:val="24"/>
        </w:rPr>
        <w:t>Figure S2.</w:t>
      </w:r>
      <w:r>
        <w:rPr>
          <w:rFonts w:ascii="Times New Roman" w:hAnsi="Times New Roman" w:eastAsia="宋体" w:cs="Times New Roman"/>
          <w:b/>
          <w:bCs/>
          <w:color w:val="000000" w:themeColor="text1"/>
          <w:sz w:val="24"/>
          <w:szCs w:val="24"/>
          <w14:textFill>
            <w14:solidFill>
              <w14:schemeClr w14:val="tx1"/>
            </w14:solidFill>
          </w14:textFill>
        </w:rPr>
        <w:t xml:space="preserve"> (</w:t>
      </w:r>
      <w:r>
        <w:rPr>
          <w:rFonts w:ascii="Times New Roman" w:hAnsi="Times New Roman" w:eastAsia="宋体" w:cs="Times New Roman"/>
          <w:b/>
          <w:bCs/>
          <w:color w:val="000000" w:themeColor="text1"/>
          <w:sz w:val="24"/>
          <w:szCs w:val="24"/>
          <w:lang w:val="en-US"/>
          <w14:textFill>
            <w14:solidFill>
              <w14:schemeClr w14:val="tx1"/>
            </w14:solidFill>
          </w14:textFill>
        </w:rPr>
        <w:t>A</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Annexin V/PI flow cytometry revealed a significantly elevated apoptotic rate in KPNA2-sh1/sh2 groups versus NC groups (left: representative plots; right: statistical analysis,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 </w:t>
      </w:r>
      <w:r>
        <w:rPr>
          <w:rFonts w:ascii="Times New Roman" w:hAnsi="Times New Roman" w:eastAsia="宋体" w:cs="Times New Roman"/>
          <w:b/>
          <w:color w:val="000000" w:themeColor="text1"/>
          <w:sz w:val="24"/>
          <w:szCs w:val="24"/>
          <w14:textFill>
            <w14:solidFill>
              <w14:schemeClr w14:val="tx1"/>
            </w14:solidFill>
          </w14:textFill>
        </w:rPr>
        <w:t>(</w:t>
      </w:r>
      <w:r>
        <w:rPr>
          <w:rFonts w:ascii="Times New Roman" w:hAnsi="Times New Roman" w:eastAsia="宋体" w:cs="Times New Roman"/>
          <w:b/>
          <w:bCs/>
          <w:color w:val="000000" w:themeColor="text1"/>
          <w:sz w:val="24"/>
          <w:szCs w:val="24"/>
          <w:lang w:val="en-US"/>
          <w14:textFill>
            <w14:solidFill>
              <w14:schemeClr w14:val="tx1"/>
            </w14:solidFill>
          </w14:textFill>
        </w:rPr>
        <w:t>B)</w:t>
      </w:r>
      <w:r>
        <w:rPr>
          <w:rFonts w:ascii="Times New Roman" w:hAnsi="Times New Roman" w:eastAsia="宋体" w:cs="Times New Roman"/>
          <w:b/>
          <w:bCs/>
          <w:color w:val="000000" w:themeColor="text1"/>
          <w:sz w:val="24"/>
          <w:szCs w:val="24"/>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Annexin V-APC/PI flow cytometry showed reduced apoptosis in KPNA2-OE cells compared with control cells following 24 h BTZ (0-8 nM) treatment. Statistical summary of flow cytometry apoptosis results (ns, no significance;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0.05,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0.01,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w:t>
      </w:r>
    </w:p>
    <w:p w14:paraId="17446398">
      <w:pPr>
        <w:spacing w:line="480" w:lineRule="auto"/>
        <w:rPr>
          <w:rFonts w:ascii="Times New Roman" w:hAnsi="Times New Roman" w:eastAsia="宋体" w:cs="Times New Roman"/>
          <w:color w:val="000000" w:themeColor="text1"/>
          <w:sz w:val="24"/>
          <w:szCs w:val="24"/>
          <w14:textFill>
            <w14:solidFill>
              <w14:schemeClr w14:val="tx1"/>
            </w14:solidFill>
          </w14:textFill>
        </w:rPr>
      </w:pPr>
    </w:p>
    <w:p w14:paraId="36AFF232">
      <w:pPr>
        <w:spacing w:line="480" w:lineRule="auto"/>
        <w:rPr>
          <w:rFonts w:ascii="Times New Roman" w:hAnsi="Times New Roman" w:cs="Times New Roman"/>
          <w:color w:val="000000"/>
          <w:kern w:val="0"/>
          <w:sz w:val="24"/>
          <w:szCs w:val="24"/>
          <w:lang w:val="en-US" w:bidi="ar"/>
        </w:rPr>
      </w:pPr>
      <w:r>
        <w:rPr>
          <w:rFonts w:ascii="Times New Roman" w:hAnsi="Times New Roman" w:cs="Times New Roman"/>
          <w:b/>
          <w:bCs/>
          <w:sz w:val="24"/>
          <w:szCs w:val="24"/>
        </w:rPr>
        <w:t>Figure S3.</w:t>
      </w:r>
      <w:r>
        <w:rPr>
          <w:rFonts w:ascii="Times New Roman" w:hAnsi="Times New Roman" w:eastAsia="宋体" w:cs="Times New Roman"/>
          <w:b/>
          <w:bCs/>
          <w:color w:val="000000" w:themeColor="text1"/>
          <w:sz w:val="24"/>
          <w:szCs w:val="24"/>
          <w14:textFill>
            <w14:solidFill>
              <w14:schemeClr w14:val="tx1"/>
            </w14:solidFill>
          </w14:textFill>
        </w:rPr>
        <w:t xml:space="preserve"> </w:t>
      </w:r>
      <w:bookmarkStart w:id="0" w:name="OLE_LINK4"/>
      <w:bookmarkStart w:id="1" w:name="OLE_LINK3"/>
      <w:r>
        <w:rPr>
          <w:rFonts w:ascii="Times New Roman" w:hAnsi="Times New Roman" w:eastAsia="宋体" w:cs="Times New Roman"/>
          <w:b/>
          <w:bCs/>
          <w:color w:val="000000" w:themeColor="text1"/>
          <w:sz w:val="24"/>
          <w:szCs w:val="24"/>
          <w14:textFill>
            <w14:solidFill>
              <w14:schemeClr w14:val="tx1"/>
            </w14:solidFill>
          </w14:textFill>
        </w:rPr>
        <w:t>(</w:t>
      </w:r>
      <w:r>
        <w:rPr>
          <w:rFonts w:ascii="Times New Roman" w:hAnsi="Times New Roman" w:eastAsia="宋体" w:cs="Times New Roman"/>
          <w:b/>
          <w:bCs/>
          <w:color w:val="000000" w:themeColor="text1"/>
          <w:sz w:val="24"/>
          <w:szCs w:val="24"/>
          <w:lang w:val="en-US"/>
          <w14:textFill>
            <w14:solidFill>
              <w14:schemeClr w14:val="tx1"/>
            </w14:solidFill>
          </w14:textFill>
        </w:rPr>
        <w:t>A</w:t>
      </w:r>
      <w:r>
        <w:rPr>
          <w:rFonts w:ascii="Times New Roman" w:hAnsi="Times New Roman" w:eastAsia="宋体" w:cs="Times New Roman"/>
          <w:b/>
          <w:bCs/>
          <w:color w:val="000000" w:themeColor="text1"/>
          <w:sz w:val="24"/>
          <w:szCs w:val="24"/>
          <w14:textFill>
            <w14:solidFill>
              <w14:schemeClr w14:val="tx1"/>
            </w14:solidFill>
          </w14:textFill>
        </w:rPr>
        <w:t>)</w:t>
      </w:r>
      <w:bookmarkEnd w:id="0"/>
      <w:bookmarkEnd w:id="1"/>
      <w:r>
        <w:rPr>
          <w:rFonts w:ascii="Times New Roman" w:hAnsi="Times New Roman" w:eastAsia="宋体"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kern w:val="0"/>
          <w:sz w:val="24"/>
          <w:szCs w:val="24"/>
          <w:lang w:bidi="ar"/>
        </w:rPr>
        <w:t>RNA sequencing was performed in the RPMI 8226-NC and RPMI 8226 KPNA2-sh cell lines. The differentially expressed genes (DEGs) (q-value &lt; 0.001, |log2FC| ≥ 1) between the two groups are shown with a volcano plot.</w:t>
      </w:r>
      <w:r>
        <w:rPr>
          <w:rFonts w:ascii="Times New Roman" w:hAnsi="Times New Roman" w:cs="Times New Roman"/>
          <w:color w:val="000000"/>
          <w:kern w:val="0"/>
          <w:sz w:val="24"/>
          <w:szCs w:val="24"/>
          <w:lang w:val="en-US" w:bidi="ar"/>
        </w:rPr>
        <w:t xml:space="preserve"> </w:t>
      </w:r>
      <w:r>
        <w:rPr>
          <w:rFonts w:ascii="Times New Roman" w:hAnsi="Times New Roman" w:eastAsia="宋体" w:cs="Times New Roman"/>
          <w:b/>
          <w:bCs/>
          <w:color w:val="000000" w:themeColor="text1"/>
          <w:sz w:val="24"/>
          <w:szCs w:val="24"/>
          <w14:textFill>
            <w14:solidFill>
              <w14:schemeClr w14:val="tx1"/>
            </w14:solidFill>
          </w14:textFill>
        </w:rPr>
        <w:t>(</w:t>
      </w:r>
      <w:r>
        <w:rPr>
          <w:rFonts w:ascii="Times New Roman" w:hAnsi="Times New Roman" w:eastAsia="宋体" w:cs="Times New Roman"/>
          <w:b/>
          <w:bCs/>
          <w:color w:val="000000" w:themeColor="text1"/>
          <w:sz w:val="24"/>
          <w:szCs w:val="24"/>
          <w:lang w:val="en-US"/>
          <w14:textFill>
            <w14:solidFill>
              <w14:schemeClr w14:val="tx1"/>
            </w14:solidFill>
          </w14:textFill>
        </w:rPr>
        <w:t>B</w:t>
      </w:r>
      <w:r>
        <w:rPr>
          <w:rFonts w:ascii="Times New Roman" w:hAnsi="Times New Roman" w:eastAsia="宋体" w:cs="Times New Roman"/>
          <w:b/>
          <w:bCs/>
          <w:color w:val="000000" w:themeColor="text1"/>
          <w:sz w:val="24"/>
          <w:szCs w:val="24"/>
          <w14:textFill>
            <w14:solidFill>
              <w14:schemeClr w14:val="tx1"/>
            </w14:solidFill>
          </w14:textFill>
        </w:rPr>
        <w:t xml:space="preserve">) </w:t>
      </w:r>
      <w:r>
        <w:rPr>
          <w:rFonts w:ascii="Times New Roman" w:hAnsi="Times New Roman" w:cs="Times New Roman"/>
          <w:sz w:val="24"/>
          <w:szCs w:val="24"/>
        </w:rPr>
        <w:t xml:space="preserve">KEGG </w:t>
      </w:r>
      <w:r>
        <w:rPr>
          <w:rFonts w:ascii="Times New Roman" w:hAnsi="Times New Roman" w:cs="Times New Roman"/>
          <w:color w:val="000000"/>
          <w:kern w:val="0"/>
          <w:sz w:val="24"/>
          <w:szCs w:val="24"/>
          <w:lang w:bidi="ar"/>
        </w:rPr>
        <w:t>analysis was performed in DEGs of RPMI 8226-NC and RPMI 8226 KPNA2-sh cells.</w:t>
      </w:r>
    </w:p>
    <w:p w14:paraId="7B2A0915">
      <w:pPr>
        <w:spacing w:line="480" w:lineRule="auto"/>
        <w:rPr>
          <w:rFonts w:ascii="Times New Roman" w:hAnsi="Times New Roman" w:cs="Times New Roman"/>
          <w:color w:val="000000"/>
          <w:kern w:val="0"/>
          <w:sz w:val="24"/>
          <w:szCs w:val="24"/>
          <w:lang w:val="en-US" w:bidi="ar"/>
        </w:rPr>
      </w:pPr>
    </w:p>
    <w:p w14:paraId="0416C8C2">
      <w:pPr>
        <w:spacing w:line="480" w:lineRule="auto"/>
        <w:rPr>
          <w:rFonts w:ascii="Times New Roman" w:hAnsi="Times New Roman" w:eastAsia="宋体" w:cs="Times New Roman"/>
          <w:color w:val="000000" w:themeColor="text1"/>
          <w:sz w:val="24"/>
          <w:szCs w:val="24"/>
          <w14:textFill>
            <w14:solidFill>
              <w14:schemeClr w14:val="tx1"/>
            </w14:solidFill>
          </w14:textFill>
        </w:rPr>
      </w:pPr>
      <w:bookmarkStart w:id="2" w:name="XLJ_TEMP_SELECTION"/>
      <w:r>
        <w:rPr>
          <w:rFonts w:ascii="Times New Roman" w:hAnsi="Times New Roman" w:cs="Times New Roman"/>
          <w:b/>
          <w:bCs/>
          <w:sz w:val="24"/>
          <w:szCs w:val="24"/>
        </w:rPr>
        <w:t>Figure S4.</w:t>
      </w:r>
      <w:r>
        <w:rPr>
          <w:rFonts w:ascii="Times New Roman" w:hAnsi="Times New Roman" w:eastAsia="宋体" w:cs="Times New Roman"/>
          <w:b/>
          <w:bCs/>
          <w:color w:val="000000" w:themeColor="text1"/>
          <w:sz w:val="24"/>
          <w:szCs w:val="24"/>
          <w14:textFill>
            <w14:solidFill>
              <w14:schemeClr w14:val="tx1"/>
            </w14:solidFill>
          </w14:textFill>
        </w:rPr>
        <w:t xml:space="preserve"> (</w:t>
      </w:r>
      <w:r>
        <w:rPr>
          <w:rFonts w:ascii="Times New Roman" w:hAnsi="Times New Roman" w:eastAsia="宋体" w:cs="Times New Roman"/>
          <w:b/>
          <w:bCs/>
          <w:color w:val="000000" w:themeColor="text1"/>
          <w:sz w:val="24"/>
          <w:szCs w:val="24"/>
          <w:lang w:val="en-US"/>
          <w14:textFill>
            <w14:solidFill>
              <w14:schemeClr w14:val="tx1"/>
            </w14:solidFill>
          </w14:textFill>
        </w:rPr>
        <w:t xml:space="preserve">A) </w:t>
      </w:r>
      <w:r>
        <w:rPr>
          <w:rFonts w:ascii="Times New Roman" w:hAnsi="Times New Roman" w:eastAsia="宋体" w:cs="Times New Roman"/>
          <w:color w:val="000000" w:themeColor="text1"/>
          <w:sz w:val="24"/>
          <w:szCs w:val="24"/>
          <w14:textFill>
            <w14:solidFill>
              <w14:schemeClr w14:val="tx1"/>
            </w14:solidFill>
          </w14:textFill>
        </w:rPr>
        <w:t>Western blot confirmed higher levels of cleaved</w:t>
      </w:r>
      <w:r>
        <w:rPr>
          <w:rFonts w:ascii="Times New Roman" w:hAnsi="Times New Roman" w:eastAsia="宋体" w:cs="Times New Roman"/>
          <w:color w:val="000000" w:themeColor="text1"/>
          <w:sz w:val="24"/>
          <w:szCs w:val="24"/>
          <w:lang w:val="en-US"/>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PARP</w:t>
      </w:r>
      <w:r>
        <w:rPr>
          <w:rFonts w:ascii="Times New Roman" w:hAnsi="Times New Roman" w:eastAsia="宋体" w:cs="Times New Roman"/>
          <w:color w:val="000000" w:themeColor="text1"/>
          <w:sz w:val="24"/>
          <w:szCs w:val="24"/>
          <w:lang w:val="en-US"/>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1 and cleaved</w:t>
      </w:r>
      <w:r>
        <w:rPr>
          <w:rFonts w:ascii="Times New Roman" w:hAnsi="Times New Roman" w:eastAsia="宋体" w:cs="Times New Roman"/>
          <w:color w:val="000000" w:themeColor="text1"/>
          <w:sz w:val="24"/>
          <w:szCs w:val="24"/>
          <w:lang w:val="en-US"/>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caspase</w:t>
      </w:r>
      <w:r>
        <w:rPr>
          <w:rFonts w:ascii="Times New Roman" w:hAnsi="Times New Roman" w:eastAsia="宋体" w:cs="Times New Roman"/>
          <w:color w:val="000000" w:themeColor="text1"/>
          <w:sz w:val="24"/>
          <w:szCs w:val="24"/>
          <w:lang w:val="en-US"/>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3 in the CQ plus BTZ combination group than in the BTZ single-treatment group.</w:t>
      </w:r>
    </w:p>
    <w:p w14:paraId="0688F948">
      <w:pPr>
        <w:spacing w:line="480" w:lineRule="auto"/>
        <w:rPr>
          <w:rFonts w:ascii="Times New Roman" w:hAnsi="Times New Roman" w:eastAsia="宋体" w:cs="Times New Roman"/>
          <w:color w:val="000000" w:themeColor="text1"/>
          <w:sz w:val="24"/>
          <w:szCs w:val="24"/>
          <w14:textFill>
            <w14:solidFill>
              <w14:schemeClr w14:val="tx1"/>
            </w14:solidFill>
          </w14:textFill>
        </w:rPr>
      </w:pPr>
    </w:p>
    <w:p w14:paraId="4EDEA869">
      <w:pPr>
        <w:spacing w:line="480" w:lineRule="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 xml:space="preserve">Figure S6. (A) </w:t>
      </w:r>
      <w:r>
        <w:rPr>
          <w:rFonts w:ascii="Times New Roman" w:hAnsi="Times New Roman" w:eastAsia="宋体" w:cs="Times New Roman"/>
          <w:color w:val="000000" w:themeColor="text1"/>
          <w:sz w:val="24"/>
          <w:szCs w:val="24"/>
          <w14:textFill>
            <w14:solidFill>
              <w14:schemeClr w14:val="tx1"/>
            </w14:solidFill>
          </w14:textFill>
        </w:rPr>
        <w:t>RPMI 8226 and H929 cells were treated with IVM (5 μM) and BTZ (10 nM) alone or in combination for 24 h. Cell apoptosis was detected by Annexin V-APC/PI double staining flow cytometry. Compared with the groups treated with IVM or BTZ alone, the apoptotic rate was significantly increased in the IVM combined with BTZ group. Summary statistics of the apoptosis data from each group in the above flow cytometry assay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0.05,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0.01, ***</w:t>
      </w:r>
      <w:r>
        <w:rPr>
          <w:rFonts w:ascii="Times New Roman" w:hAnsi="Times New Roman" w:eastAsia="宋体" w:cs="Times New Roman"/>
          <w:i/>
          <w:color w:val="000000" w:themeColor="text1"/>
          <w:sz w:val="24"/>
          <w:szCs w:val="24"/>
          <w14:textFill>
            <w14:solidFill>
              <w14:schemeClr w14:val="tx1"/>
            </w14:solidFill>
          </w14:textFill>
        </w:rPr>
        <w:t>p</w:t>
      </w:r>
      <w:r>
        <w:rPr>
          <w:rFonts w:ascii="Times New Roman" w:hAnsi="Times New Roman" w:eastAsia="宋体" w:cs="Times New Roman"/>
          <w:color w:val="000000" w:themeColor="text1"/>
          <w:sz w:val="24"/>
          <w:szCs w:val="24"/>
          <w14:textFill>
            <w14:solidFill>
              <w14:schemeClr w14:val="tx1"/>
            </w14:solidFill>
          </w14:textFill>
        </w:rPr>
        <w:t xml:space="preserve"> &lt; 0.001).</w:t>
      </w:r>
    </w:p>
    <w:bookmarkEnd w:id="2"/>
    <w:p w14:paraId="531DDCDE">
      <w:pPr>
        <w:spacing w:line="360" w:lineRule="auto"/>
        <w:rPr>
          <w:rFonts w:ascii="Times New Roman" w:hAnsi="Times New Roman" w:cs="Times New Roman"/>
          <w:sz w:val="24"/>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462594"/>
      <w:docPartObj>
        <w:docPartGallery w:val="AutoText"/>
      </w:docPartObj>
    </w:sdtPr>
    <w:sdtContent>
      <w:p w14:paraId="785EBD38">
        <w:pPr>
          <w:pStyle w:val="2"/>
          <w:jc w:val="center"/>
        </w:pPr>
        <w:r>
          <w:fldChar w:fldCharType="begin"/>
        </w:r>
        <w:r>
          <w:instrText xml:space="preserve">PAGE   \* MERGEFORMAT</w:instrText>
        </w:r>
        <w:r>
          <w:fldChar w:fldCharType="separate"/>
        </w:r>
        <w:r>
          <w:rPr>
            <w:lang w:val="zh-CN"/>
          </w:rPr>
          <w:t>1</w:t>
        </w:r>
        <w:r>
          <w:fldChar w:fldCharType="end"/>
        </w:r>
      </w:p>
    </w:sdtContent>
  </w:sdt>
  <w:p w14:paraId="021C77FB">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2A19B">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B8CE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ACA30">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1990B">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39595">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42E"/>
    <w:rsid w:val="0004542E"/>
    <w:rsid w:val="000559B6"/>
    <w:rsid w:val="00091BC2"/>
    <w:rsid w:val="000C024B"/>
    <w:rsid w:val="001856A0"/>
    <w:rsid w:val="001946E7"/>
    <w:rsid w:val="001E42B1"/>
    <w:rsid w:val="00224C30"/>
    <w:rsid w:val="002824F3"/>
    <w:rsid w:val="00292C1C"/>
    <w:rsid w:val="002B3ED0"/>
    <w:rsid w:val="00303FBD"/>
    <w:rsid w:val="0033205A"/>
    <w:rsid w:val="00334033"/>
    <w:rsid w:val="003358F4"/>
    <w:rsid w:val="00341A3C"/>
    <w:rsid w:val="00392115"/>
    <w:rsid w:val="003A4A7F"/>
    <w:rsid w:val="00482E49"/>
    <w:rsid w:val="004D6D06"/>
    <w:rsid w:val="00500138"/>
    <w:rsid w:val="005205D7"/>
    <w:rsid w:val="005B04AD"/>
    <w:rsid w:val="00637938"/>
    <w:rsid w:val="00686DBD"/>
    <w:rsid w:val="006D5F42"/>
    <w:rsid w:val="006F754C"/>
    <w:rsid w:val="007459F4"/>
    <w:rsid w:val="00792769"/>
    <w:rsid w:val="007A2C89"/>
    <w:rsid w:val="007B1CB5"/>
    <w:rsid w:val="007C70CE"/>
    <w:rsid w:val="007D2AAD"/>
    <w:rsid w:val="0080620F"/>
    <w:rsid w:val="00884DE8"/>
    <w:rsid w:val="008E7CF5"/>
    <w:rsid w:val="008F6B96"/>
    <w:rsid w:val="00933214"/>
    <w:rsid w:val="00951D20"/>
    <w:rsid w:val="00967493"/>
    <w:rsid w:val="00983201"/>
    <w:rsid w:val="009B7264"/>
    <w:rsid w:val="00A31BFD"/>
    <w:rsid w:val="00B0135D"/>
    <w:rsid w:val="00B14C6E"/>
    <w:rsid w:val="00B42E00"/>
    <w:rsid w:val="00B84154"/>
    <w:rsid w:val="00BC22EB"/>
    <w:rsid w:val="00BD7EAC"/>
    <w:rsid w:val="00BE1247"/>
    <w:rsid w:val="00C005FD"/>
    <w:rsid w:val="00C15501"/>
    <w:rsid w:val="00C57BD7"/>
    <w:rsid w:val="00CF311B"/>
    <w:rsid w:val="00D169A7"/>
    <w:rsid w:val="00D4205D"/>
    <w:rsid w:val="00D649D0"/>
    <w:rsid w:val="00DA1EF2"/>
    <w:rsid w:val="00DA3E11"/>
    <w:rsid w:val="00DA6906"/>
    <w:rsid w:val="00DB7C52"/>
    <w:rsid w:val="00DC175E"/>
    <w:rsid w:val="00E017F5"/>
    <w:rsid w:val="00E3693D"/>
    <w:rsid w:val="00E506E0"/>
    <w:rsid w:val="00E55236"/>
    <w:rsid w:val="00F067D4"/>
    <w:rsid w:val="00F5449C"/>
    <w:rsid w:val="00FC1438"/>
    <w:rsid w:val="056106F1"/>
    <w:rsid w:val="070363D8"/>
    <w:rsid w:val="0E5232CD"/>
    <w:rsid w:val="15510782"/>
    <w:rsid w:val="1AC2311F"/>
    <w:rsid w:val="1DFDDC54"/>
    <w:rsid w:val="229B303C"/>
    <w:rsid w:val="24BC729A"/>
    <w:rsid w:val="26FD1B5B"/>
    <w:rsid w:val="2838132E"/>
    <w:rsid w:val="2A7F3244"/>
    <w:rsid w:val="31244B45"/>
    <w:rsid w:val="31CB6D6E"/>
    <w:rsid w:val="33244988"/>
    <w:rsid w:val="365657A0"/>
    <w:rsid w:val="36B030FD"/>
    <w:rsid w:val="4125649B"/>
    <w:rsid w:val="45DB29CE"/>
    <w:rsid w:val="491D05E3"/>
    <w:rsid w:val="4AD85C6D"/>
    <w:rsid w:val="4B3F0159"/>
    <w:rsid w:val="4C03562B"/>
    <w:rsid w:val="530A434B"/>
    <w:rsid w:val="55DB3175"/>
    <w:rsid w:val="596F4300"/>
    <w:rsid w:val="64FD7A36"/>
    <w:rsid w:val="6D7F6393"/>
    <w:rsid w:val="72355F9C"/>
    <w:rsid w:val="745443C6"/>
    <w:rsid w:val="789E38B8"/>
    <w:rsid w:val="7F66332E"/>
    <w:rsid w:val="7FBFD28D"/>
    <w:rsid w:val="B136C6C1"/>
    <w:rsid w:val="B5F70F61"/>
    <w:rsid w:val="CEFF4DB9"/>
    <w:rsid w:val="D57DD3CB"/>
    <w:rsid w:val="DFE9F4A6"/>
    <w:rsid w:val="E7ED6963"/>
    <w:rsid w:val="F9DC1BA1"/>
    <w:rsid w:val="FA5ABABC"/>
    <w:rsid w:val="FAACC8B8"/>
    <w:rsid w:val="FB772130"/>
    <w:rsid w:val="FD7BE1BF"/>
    <w:rsid w:val="FFF7ED32"/>
    <w:rsid w:val="FFFCA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GB"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paragraph" w:styleId="4">
    <w:name w:val="Normal (Web)"/>
    <w:basedOn w:val="1"/>
    <w:qFormat/>
    <w:uiPriority w:val="99"/>
    <w:pPr>
      <w:spacing w:beforeAutospacing="1" w:afterAutospacing="1"/>
      <w:jc w:val="left"/>
    </w:pPr>
    <w:rPr>
      <w:rFonts w:cs="Times New Roman"/>
      <w:kern w:val="0"/>
      <w:sz w:val="24"/>
    </w:rPr>
  </w:style>
  <w:style w:type="character" w:customStyle="1" w:styleId="7">
    <w:name w:val="页眉 字符"/>
    <w:basedOn w:val="6"/>
    <w:link w:val="3"/>
    <w:qFormat/>
    <w:uiPriority w:val="99"/>
    <w:rPr>
      <w:rFonts w:asciiTheme="minorHAnsi" w:hAnsiTheme="minorHAnsi" w:eastAsiaTheme="minorEastAsia" w:cstheme="minorBidi"/>
      <w:kern w:val="2"/>
      <w:sz w:val="18"/>
      <w:szCs w:val="18"/>
      <w:lang w:val="en-GB"/>
    </w:rPr>
  </w:style>
  <w:style w:type="character" w:customStyle="1" w:styleId="8">
    <w:name w:val="页脚 字符"/>
    <w:basedOn w:val="6"/>
    <w:link w:val="2"/>
    <w:qFormat/>
    <w:uiPriority w:val="99"/>
    <w:rPr>
      <w:rFonts w:asciiTheme="minorHAnsi" w:hAnsiTheme="minorHAnsi" w:eastAsiaTheme="minorEastAsia" w:cstheme="minorBidi"/>
      <w:kern w:val="2"/>
      <w:sz w:val="18"/>
      <w:szCs w:val="18"/>
      <w:lang w:val="en-GB"/>
    </w:rPr>
  </w:style>
  <w:style w:type="paragraph" w:customStyle="1" w:styleId="9">
    <w:name w:val="Revision"/>
    <w:hidden/>
    <w:unhideWhenUsed/>
    <w:uiPriority w:val="99"/>
    <w:rPr>
      <w:rFonts w:asciiTheme="minorHAnsi" w:hAnsiTheme="minorHAnsi" w:eastAsiaTheme="minorEastAsia" w:cstheme="minorBidi"/>
      <w:kern w:val="2"/>
      <w:sz w:val="21"/>
      <w:szCs w:val="22"/>
      <w:lang w:val="en-GB"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396</Words>
  <Characters>2192</Characters>
  <Lines>18</Lines>
  <Paragraphs>5</Paragraphs>
  <TotalTime>41</TotalTime>
  <ScaleCrop>false</ScaleCrop>
  <LinksUpToDate>false</LinksUpToDate>
  <CharactersWithSpaces>2582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2023-12-11T05:11:00Z</dcterms:created>
  <dc:creator>zhen yu</dc:creator>
  <cp:lastModifiedBy>刘浩</cp:lastModifiedBy>
  <dcterms:modified xsi:type="dcterms:W3CDTF">2026-09-07T12:46:27Z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1374605052F847FD99071D874C37A6D3_13</vt:lpwstr>
  </property>
  <property fmtid="{D5CDD505-2E9C-101B-9397-08002B2CF9AE}" pid="4" name="KSOTemplateDocerSaveRecord">
    <vt:lpwstr>eyJoZGlkIjoiMjRmMDQyNGUyZjBmNDkxOTM1ODE5OTFjNjVhYmNkNzciLCJ1c2VySWQiOiI0NjI1NzIxNTgifQ==</vt:lpwstr>
  </property>
</Properties>
</file>