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20" w:after="160"/>
        <w:rPr/>
      </w:pPr>
      <w:r>
        <w:rPr>
          <w:b/>
          <w:bCs/>
          <w:sz w:val="26"/>
          <w:szCs w:val="26"/>
        </w:rPr>
        <w:t>Appendix: The SGI Data Source and Survey Items</w:t>
      </w:r>
    </w:p>
    <w:p>
      <w:pPr>
        <w:pStyle w:val="Normal"/>
        <w:jc w:val="both"/>
        <w:rPr/>
      </w:pPr>
      <w:r>
        <w:rPr>
          <w:color w:val="1F4E79"/>
        </w:rPr>
        <w:t>This appendix documents the data source on which the classification rests. Section A1 describes the procedure by which the SGI scores are produced, Section A2 the documentation of item wording across survey waves, and Section A3 the restructuring of the SGI framework from the 2024 edition onward. Sections A4 to A6 reproduce the six survey items with their original question wording and scoring anchors.</w:t>
      </w:r>
    </w:p>
    <w:p>
      <w:pPr>
        <w:pStyle w:val="Heading2"/>
        <w:spacing w:before="320" w:after="160"/>
        <w:rPr/>
      </w:pPr>
      <w:r>
        <w:rPr>
          <w:b/>
          <w:bCs/>
          <w:color w:val="1F4E79"/>
          <w:sz w:val="24"/>
          <w:szCs w:val="24"/>
        </w:rPr>
        <w:t>A1 The SGI Assessment Process</w:t>
      </w:r>
    </w:p>
    <w:p>
      <w:pPr>
        <w:pStyle w:val="Normal"/>
        <w:jc w:val="both"/>
        <w:rPr/>
      </w:pPr>
      <w:r>
        <w:rPr>
          <w:color w:val="1F4E79"/>
        </w:rPr>
        <w:t>The six indicators are expert assessments rather than codings of legal texts, and the procedure by which they are generated bears directly on how far the resulting scores can be read as evidence about executive practice. The SGI runs an annual cycle in which every country report and every score passes through several hands before it is fixed (SGI 2022 Codebook: 15–16).</w:t>
      </w:r>
    </w:p>
    <w:p>
      <w:pPr>
        <w:pStyle w:val="Normal"/>
        <w:jc w:val="both"/>
        <w:rPr/>
      </w:pPr>
      <w:r>
        <w:rPr>
          <w:color w:val="1F4E79"/>
        </w:rPr>
        <w:t xml:space="preserve">A first country expert drafts a full narrative report of at least 40 pages for each country and survey wave, in which the reasoning behind every score is set out in qualitative terms, and enters an initial set of scores (SGI 2022 Codebook: 16). A second expert then works over the same report, revising formulations and adding information, and enters an independent set of scores without sight of the first expert’s numbers, so that each item receives two separate judgments together with two independent qualitative accounts. The regional coordinator subsequently reviews both texts and scores and settles on values within the range spanned by the two experts, opening the file at that stage to joint examination by both of them. The coordinator’s task here is calibration in the strict sense: adjusting scores so that they are comparable across the countries of the region rather than merely plausible for a single case. Sector experts then read across regions, flagging remaining inconsistencies and gaps, which the coordinator takes back to the country experts in order to establish a common position. A calibration conference of all coordinators and the SGI team follows, at which scores are aligned across regions; the SGI Board reviews the outcome, and final scores are set. Both country experts and the regional coordinator are listed as authors of the published report, which is revised annually. In total, more than one hundred senior researchers are involved in the process each year, a full list of whom is published on the project’s website (SGI 2022 Codebook: 7).</w:t>
      </w:r>
    </w:p>
    <w:p>
      <w:pPr>
        <w:pStyle w:val="Normal"/>
        <w:jc w:val="both"/>
        <w:rPr/>
      </w:pPr>
      <w:r>
        <w:rPr>
          <w:color w:val="1F4E79"/>
        </w:rPr>
        <w:t>Two features of this procedure matter for the argument advanced here. First, no score originates in a single judgment: each is the product of at least two independent assessments passed through two successive rounds of comparative calibration, which limits the weight that any individual expert’s reading of a case can carry. Second, the calibration is explicitly comparative — the benchmark is the distribution across the sample rather than the country’s own past — which is what makes cross-national comparison defensible, but also means that movement over time registers a shift in a country’s position relative to others alongside any change in its own practice. This is a real bound on how finely the timing of change can be dated, and it is one reason the analysis reported above treats the three continuous dimension scores as the primary evidence and the discrete classification as a summary of them. Third, every score rests on documented qualitative evidence rather than standing as a number in isolation: for each country and wave, the narrative report described above sets out the reasoning behind every score, so that the coding used here can in principle be traced back to a qualitative account of the case.</w:t>
      </w:r>
    </w:p>
    <w:p>
      <w:pPr>
        <w:pStyle w:val="Heading2"/>
        <w:spacing w:before="320" w:after="160"/>
        <w:rPr/>
      </w:pPr>
      <w:r>
        <w:rPr>
          <w:b/>
          <w:bCs/>
          <w:color w:val="1F4E79"/>
          <w:sz w:val="24"/>
          <w:szCs w:val="24"/>
        </w:rPr>
        <w:t>A2 Item Wording across Survey Waves</w:t>
      </w:r>
    </w:p>
    <w:p>
      <w:pPr>
        <w:pStyle w:val="Normal"/>
        <w:jc w:val="both"/>
        <w:rPr/>
      </w:pPr>
      <w:r>
        <w:rPr>
          <w:color w:val="1F4E79"/>
        </w:rPr>
        <w:t>Because the classification spans seventeen years and ten survey waves, the stability of the item wording is a legitimate question. The SGI publishes the codebooks of earlier editions alongside the current one (https://www.sgi-network.org/2024/Publications), so the wording of each item and of its four scoring anchors can be traced wave by wave. A full change-by-change reconstruction across all waves lies beyond the scope of this article, but the documentation required for such a reconstruction is publicly available, and readers who wish to verify the continuity of any of the six items used here can do so directly against the published codebooks.</w:t>
      </w:r>
    </w:p>
    <w:p>
      <w:pPr>
        <w:pStyle w:val="Heading2"/>
        <w:spacing w:before="320" w:after="160"/>
        <w:rPr/>
      </w:pPr>
      <w:r>
        <w:rPr>
          <w:b/>
          <w:bCs/>
          <w:color w:val="1F4E79"/>
          <w:sz w:val="24"/>
          <w:szCs w:val="24"/>
        </w:rPr>
        <w:t>A3 The 2024 Restructuring of the SGI Framework</w:t>
      </w:r>
    </w:p>
    <w:p>
      <w:pPr>
        <w:pStyle w:val="Normal"/>
        <w:jc w:val="both"/>
        <w:rPr/>
      </w:pPr>
      <w:r>
        <w:rPr>
          <w:color w:val="1F4E79"/>
        </w:rPr>
        <w:t>The series analyzed here ends in 2021 for reasons of data availability rather than design. With the 2024 edition the SGI project was restructured, and the governance pillar on which this article draws was rebuilt on different principles (SGI 2024 Codebook: 17–18). What was previously Good Governance, divided into Executive Capacity and Executive Accountability and carrying indicators G1 to G13, has been replaced by two dimensions organized around different concerns. The first, Democratic Government, arranges its indicators under vertical, diagonal, and horizontal accountability. The second, Governing with Foresight, is new; it groups indicators G1 to G8 under coordination, consensus-building, and sensemaking, with components such as Quality of Horizontal Coordination, Recourse to Scientific Knowledge, Preparedness, and Analytical Competence.</w:t>
      </w:r>
    </w:p>
    <w:p>
      <w:pPr>
        <w:pStyle w:val="Normal"/>
        <w:jc w:val="both"/>
        <w:rPr/>
      </w:pPr>
      <w:r>
        <w:rPr>
          <w:color w:val="1F4E79"/>
        </w:rPr>
        <w:t>The consequence for the present study is straightforward. None of the six indicators used here survives in a form that would allow the series to be extended: the categories to which they belonged no longer exist, and the items occupying comparable positions in the new architecture pose different questions against different anchors. The restructuring also shifts the instrument toward more explicitly normative concerns, the framing being anticipatory and sustainability-oriented rather than descriptive of executive organization (SGI 2024 Codebook: 7). Whatever the merits of that reorientation for the project’s own purposes, it withdraws from comparative politics one of the few instruments that measured executive practice, rather than executive rules, on a consistent basis across a large set of democracies over time. The 2005–2021 series used in this article is therefore a closed rather than an ongoing resource.</w:t>
      </w:r>
    </w:p>
    <w:p>
      <w:pPr>
        <w:pStyle w:val="Normal"/>
        <w:jc w:val="both"/>
        <w:rPr/>
      </w:pPr>
      <w:r>
        <w:rPr/>
        <w:t xml:space="preserve">The following six items from the 2009 to 2021 </w:t>
      </w:r>
      <w:bookmarkStart w:id="0" w:name="_GoBack"/>
      <w:bookmarkEnd w:id="0"/>
      <w:r>
        <w:rPr/>
        <w:t>Sustainable Governance Indicators (SGI) survey of the Bertelsmann Stiftung form the basis of the operationalization of the three governance dimensions in Section 3.2. Items are reproduced with the original question wording and response anchors. The dimension to which each item is assigned — Prime Ministerial, Ministerial, or Collegial — is indicated in brackets, together with its coding direction. G2.2 and G6.2a are reverse-coded so that higher values indicate greater ministerial autonomy. All items are scored on a scale of 1 to 10 using four anchor bands.</w:t>
      </w:r>
    </w:p>
    <w:p>
      <w:pPr>
        <w:pStyle w:val="Heading2"/>
        <w:spacing w:before="320" w:after="160"/>
        <w:rPr/>
      </w:pPr>
      <w:r>
        <w:rPr>
          <w:b/>
          <w:bCs/>
          <w:sz w:val="24"/>
          <w:szCs w:val="24"/>
        </w:rPr>
        <w:t>A4 Survey Items: Prime Ministerial Dimension</w:t>
      </w:r>
    </w:p>
    <w:p>
      <w:pPr>
        <w:pStyle w:val="Normal"/>
        <w:spacing w:before="200" w:after="80"/>
        <w:rPr/>
      </w:pPr>
      <w:r>
        <w:rPr>
          <w:b/>
          <w:bCs/>
        </w:rPr>
        <w:t>G2.1 GO/PMO Expertise</w:t>
      </w:r>
      <w:r>
        <w:rPr>
          <w:i/>
          <w:iCs/>
        </w:rPr>
        <w:t xml:space="preserve">  [Prime Ministerial — positive]</w:t>
      </w:r>
    </w:p>
    <w:p>
      <w:pPr>
        <w:pStyle w:val="Normal"/>
        <w:spacing w:lineRule="auto" w:line="300" w:before="0" w:after="100"/>
        <w:ind w:left="397"/>
        <w:rPr/>
      </w:pPr>
      <w:r>
        <w:rPr>
          <w:i/>
          <w:iCs/>
        </w:rPr>
        <w:t>Does the government office / prime minister's office (GO/PMO) have the expertise to evaluate ministerial draft bills according to the government's priorities?</w:t>
      </w:r>
    </w:p>
    <w:p>
      <w:pPr>
        <w:pStyle w:val="Normal"/>
        <w:spacing w:lineRule="auto" w:line="278" w:before="0" w:after="80"/>
        <w:ind w:left="397"/>
        <w:rPr/>
      </w:pPr>
      <w:r>
        <w:rPr>
          <w:b/>
          <w:bCs/>
        </w:rPr>
        <w:t xml:space="preserve">9–10  </w:t>
      </w:r>
      <w:r>
        <w:rPr/>
        <w:t>The GO/PMO provides regular, independent evaluations of draft bills for the cabinet/prime minister. These assessments are guided exclusively by the government's priorities.</w:t>
      </w:r>
    </w:p>
    <w:p>
      <w:pPr>
        <w:pStyle w:val="Normal"/>
        <w:spacing w:lineRule="auto" w:line="278" w:before="0" w:after="80"/>
        <w:ind w:left="397"/>
        <w:rPr/>
      </w:pPr>
      <w:r>
        <w:rPr>
          <w:b/>
          <w:bCs/>
        </w:rPr>
        <w:t xml:space="preserve">6–8  </w:t>
      </w:r>
      <w:r>
        <w:rPr/>
        <w:t>The GO/PMO evaluates most draft bills according to the government's priorities.</w:t>
      </w:r>
    </w:p>
    <w:p>
      <w:pPr>
        <w:pStyle w:val="Normal"/>
        <w:spacing w:lineRule="auto" w:line="278" w:before="0" w:after="80"/>
        <w:ind w:left="397"/>
        <w:rPr/>
      </w:pPr>
      <w:r>
        <w:rPr>
          <w:b/>
          <w:bCs/>
        </w:rPr>
        <w:t xml:space="preserve">3–5  </w:t>
      </w:r>
      <w:r>
        <w:rPr/>
        <w:t>The GO/PMO can rely on some sectoral policy expertise but does not evaluate draft bills.</w:t>
      </w:r>
    </w:p>
    <w:p>
      <w:pPr>
        <w:pStyle w:val="Normal"/>
        <w:spacing w:lineRule="auto" w:line="278" w:before="0" w:after="80"/>
        <w:ind w:left="397"/>
        <w:rPr/>
      </w:pPr>
      <w:r>
        <w:rPr>
          <w:b/>
          <w:bCs/>
        </w:rPr>
        <w:t xml:space="preserve">1–2  </w:t>
      </w:r>
      <w:r>
        <w:rPr/>
        <w:t>The GO/PMO does not have any sectoral policy expertise. Its role is limited to collecting, registering and circulating documents submitted for cabinet meetings.</w:t>
      </w:r>
    </w:p>
    <w:p>
      <w:pPr>
        <w:pStyle w:val="Normal"/>
        <w:spacing w:before="200" w:after="80"/>
        <w:rPr/>
      </w:pPr>
      <w:r>
        <w:rPr>
          <w:b/>
          <w:bCs/>
        </w:rPr>
        <w:t>G6.2b Monitoring Ministries</w:t>
      </w:r>
      <w:r>
        <w:rPr>
          <w:i/>
          <w:iCs/>
        </w:rPr>
        <w:t xml:space="preserve">  [Prime Ministerial — positive]</w:t>
      </w:r>
    </w:p>
    <w:p>
      <w:pPr>
        <w:pStyle w:val="Normal"/>
        <w:spacing w:lineRule="auto" w:line="300" w:before="0" w:after="100"/>
        <w:ind w:left="397"/>
        <w:rPr/>
      </w:pPr>
      <w:r>
        <w:rPr>
          <w:i/>
          <w:iCs/>
        </w:rPr>
        <w:t>How effectively does the government office / prime minister's office monitor line ministry activities with regard to implementation?</w:t>
      </w:r>
    </w:p>
    <w:p>
      <w:pPr>
        <w:pStyle w:val="Normal"/>
        <w:spacing w:lineRule="auto" w:line="278" w:before="0" w:after="80"/>
        <w:ind w:left="397"/>
        <w:rPr/>
      </w:pPr>
      <w:r>
        <w:rPr>
          <w:b/>
          <w:bCs/>
        </w:rPr>
        <w:t xml:space="preserve">9–10  </w:t>
      </w:r>
      <w:r>
        <w:rPr/>
        <w:t>The GO/PMO effectively monitors the implementation activities of all line ministries.</w:t>
      </w:r>
    </w:p>
    <w:p>
      <w:pPr>
        <w:pStyle w:val="Normal"/>
        <w:spacing w:lineRule="auto" w:line="278" w:before="0" w:after="80"/>
        <w:ind w:left="397"/>
        <w:rPr/>
      </w:pPr>
      <w:r>
        <w:rPr>
          <w:b/>
          <w:bCs/>
        </w:rPr>
        <w:t xml:space="preserve">6–8  </w:t>
      </w:r>
      <w:r>
        <w:rPr/>
        <w:t>The GO/PMO monitors the implementation activities of most line ministries.</w:t>
      </w:r>
    </w:p>
    <w:p>
      <w:pPr>
        <w:pStyle w:val="Normal"/>
        <w:spacing w:lineRule="auto" w:line="278" w:before="0" w:after="80"/>
        <w:ind w:left="397"/>
        <w:rPr/>
      </w:pPr>
      <w:r>
        <w:rPr>
          <w:b/>
          <w:bCs/>
        </w:rPr>
        <w:t xml:space="preserve">3–5  </w:t>
      </w:r>
      <w:r>
        <w:rPr/>
        <w:t>The GO/PMO monitors the implementation activities of some line ministries.</w:t>
      </w:r>
    </w:p>
    <w:p>
      <w:pPr>
        <w:pStyle w:val="Normal"/>
        <w:spacing w:lineRule="auto" w:line="278" w:before="0" w:after="80"/>
        <w:ind w:left="397"/>
        <w:rPr/>
      </w:pPr>
      <w:r>
        <w:rPr>
          <w:b/>
          <w:bCs/>
        </w:rPr>
        <w:t xml:space="preserve">1–2  </w:t>
      </w:r>
      <w:r>
        <w:rPr/>
        <w:t>The GO/PMO does not monitor the implementation activities of line ministries.</w:t>
      </w:r>
    </w:p>
    <w:p>
      <w:pPr>
        <w:pStyle w:val="Heading2"/>
        <w:spacing w:before="320" w:after="160"/>
        <w:rPr/>
      </w:pPr>
      <w:r>
        <w:rPr>
          <w:b/>
          <w:bCs/>
          <w:sz w:val="24"/>
          <w:szCs w:val="24"/>
        </w:rPr>
        <w:t>A5 Survey Items: Ministerial Dimension (Reverse-Coded)</w:t>
      </w:r>
    </w:p>
    <w:p>
      <w:pPr>
        <w:pStyle w:val="Normal"/>
        <w:jc w:val="both"/>
        <w:rPr/>
      </w:pPr>
      <w:r>
        <w:rPr>
          <w:sz w:val="20"/>
          <w:szCs w:val="20"/>
        </w:rPr>
        <w:t>Both items are reverse-coded so that higher scores indicate greater ministerial autonomy from central direction, consistent with Section 3.2.</w:t>
      </w:r>
    </w:p>
    <w:p>
      <w:pPr>
        <w:pStyle w:val="Normal"/>
        <w:spacing w:before="200" w:after="80"/>
        <w:rPr/>
      </w:pPr>
      <w:r>
        <w:rPr>
          <w:b/>
          <w:bCs/>
        </w:rPr>
        <w:t>G2.2 Line Ministry Involvement</w:t>
      </w:r>
      <w:r>
        <w:rPr>
          <w:i/>
          <w:iCs/>
        </w:rPr>
        <w:t xml:space="preserve">  [Ministerial — reversed]</w:t>
      </w:r>
    </w:p>
    <w:p>
      <w:pPr>
        <w:pStyle w:val="Normal"/>
        <w:spacing w:lineRule="auto" w:line="300" w:before="0" w:after="100"/>
        <w:ind w:left="397"/>
        <w:rPr/>
      </w:pPr>
      <w:r>
        <w:rPr>
          <w:i/>
          <w:iCs/>
        </w:rPr>
        <w:t>To what extent do line ministries involve the government office / prime minister's office in the preparation of policy proposals?</w:t>
      </w:r>
    </w:p>
    <w:p>
      <w:pPr>
        <w:pStyle w:val="Normal"/>
        <w:spacing w:lineRule="auto" w:line="278" w:before="0" w:after="80"/>
        <w:ind w:left="397"/>
        <w:rPr/>
      </w:pPr>
      <w:r>
        <w:rPr>
          <w:b/>
          <w:bCs/>
        </w:rPr>
        <w:t xml:space="preserve">9–10  </w:t>
      </w:r>
      <w:r>
        <w:rPr/>
        <w:t>There are interrelated capacities for coordination between the GO/PMO and line ministries.</w:t>
      </w:r>
    </w:p>
    <w:p>
      <w:pPr>
        <w:pStyle w:val="Normal"/>
        <w:spacing w:lineRule="auto" w:line="278" w:before="0" w:after="80"/>
        <w:ind w:left="397"/>
        <w:rPr/>
      </w:pPr>
      <w:r>
        <w:rPr>
          <w:b/>
          <w:bCs/>
        </w:rPr>
        <w:t xml:space="preserve">6–8  </w:t>
      </w:r>
      <w:r>
        <w:rPr/>
        <w:t>The GO/PMO is regularly briefed on new developments affecting the preparation of policy proposals.</w:t>
      </w:r>
    </w:p>
    <w:p>
      <w:pPr>
        <w:pStyle w:val="Normal"/>
        <w:spacing w:lineRule="auto" w:line="278" w:before="0" w:after="80"/>
        <w:ind w:left="397"/>
        <w:rPr/>
      </w:pPr>
      <w:r>
        <w:rPr>
          <w:b/>
          <w:bCs/>
        </w:rPr>
        <w:t xml:space="preserve">3–5  </w:t>
      </w:r>
      <w:r>
        <w:rPr/>
        <w:t>Consultation is rather formal and focuses on technical and drafting issues.</w:t>
      </w:r>
    </w:p>
    <w:p>
      <w:pPr>
        <w:pStyle w:val="Normal"/>
        <w:spacing w:lineRule="auto" w:line="278" w:before="0" w:after="80"/>
        <w:ind w:left="397"/>
        <w:rPr/>
      </w:pPr>
      <w:r>
        <w:rPr>
          <w:b/>
          <w:bCs/>
        </w:rPr>
        <w:t xml:space="preserve">1–2  </w:t>
      </w:r>
      <w:r>
        <w:rPr/>
        <w:t>Consultation occurs only after proposals are fully drafted as laws.</w:t>
      </w:r>
    </w:p>
    <w:p>
      <w:pPr>
        <w:pStyle w:val="Normal"/>
        <w:spacing w:before="200" w:after="80"/>
        <w:rPr/>
      </w:pPr>
      <w:r>
        <w:rPr>
          <w:b/>
          <w:bCs/>
        </w:rPr>
        <w:t>G6.2a Ministerial Compliance</w:t>
      </w:r>
      <w:r>
        <w:rPr>
          <w:i/>
          <w:iCs/>
        </w:rPr>
        <w:t xml:space="preserve">  [Ministerial — reversed]</w:t>
      </w:r>
    </w:p>
    <w:p>
      <w:pPr>
        <w:pStyle w:val="Normal"/>
        <w:spacing w:lineRule="auto" w:line="300" w:before="0" w:after="100"/>
        <w:ind w:left="397"/>
        <w:rPr/>
      </w:pPr>
      <w:r>
        <w:rPr>
          <w:i/>
          <w:iCs/>
        </w:rPr>
        <w:t>To what extent does the organization of government provide mechanisms to ensure that ministers implement the government's program?</w:t>
      </w:r>
    </w:p>
    <w:p>
      <w:pPr>
        <w:pStyle w:val="Normal"/>
        <w:spacing w:lineRule="auto" w:line="278" w:before="0" w:after="80"/>
        <w:ind w:left="397"/>
        <w:rPr/>
      </w:pPr>
      <w:r>
        <w:rPr>
          <w:b/>
          <w:bCs/>
        </w:rPr>
        <w:t xml:space="preserve">9–10  </w:t>
      </w:r>
      <w:r>
        <w:rPr/>
        <w:t>The organization of government successfully provides strong mechanisms for ministers to implement the government's program.</w:t>
      </w:r>
    </w:p>
    <w:p>
      <w:pPr>
        <w:pStyle w:val="Normal"/>
        <w:spacing w:lineRule="auto" w:line="278" w:before="0" w:after="80"/>
        <w:ind w:left="397"/>
        <w:rPr/>
      </w:pPr>
      <w:r>
        <w:rPr>
          <w:b/>
          <w:bCs/>
        </w:rPr>
        <w:t xml:space="preserve">6–8  </w:t>
      </w:r>
      <w:r>
        <w:rPr/>
        <w:t>The organization of government provides some mechanisms for ministers to implement the government's program.</w:t>
      </w:r>
    </w:p>
    <w:p>
      <w:pPr>
        <w:pStyle w:val="Normal"/>
        <w:spacing w:lineRule="auto" w:line="278" w:before="0" w:after="80"/>
        <w:ind w:left="397"/>
        <w:rPr/>
      </w:pPr>
      <w:r>
        <w:rPr>
          <w:b/>
          <w:bCs/>
        </w:rPr>
        <w:t xml:space="preserve">3–5  </w:t>
      </w:r>
      <w:r>
        <w:rPr/>
        <w:t>The organization of government provides weak mechanisms for ministers to implement the government's program.</w:t>
      </w:r>
    </w:p>
    <w:p>
      <w:pPr>
        <w:pStyle w:val="Normal"/>
        <w:spacing w:lineRule="auto" w:line="278" w:before="0" w:after="80"/>
        <w:ind w:left="397"/>
        <w:rPr/>
      </w:pPr>
      <w:r>
        <w:rPr>
          <w:b/>
          <w:bCs/>
        </w:rPr>
        <w:t xml:space="preserve">1–2  </w:t>
      </w:r>
      <w:r>
        <w:rPr/>
        <w:t>The organization of government does not provide any mechanisms for ministers to implement the government's program.</w:t>
      </w:r>
    </w:p>
    <w:p>
      <w:pPr>
        <w:pStyle w:val="Heading2"/>
        <w:spacing w:before="320" w:after="160"/>
        <w:rPr/>
      </w:pPr>
      <w:r>
        <w:rPr>
          <w:b/>
          <w:bCs/>
          <w:sz w:val="24"/>
          <w:szCs w:val="24"/>
        </w:rPr>
        <w:t>A6 Survey Items: Collegial Dimension</w:t>
      </w:r>
    </w:p>
    <w:p>
      <w:pPr>
        <w:pStyle w:val="Normal"/>
        <w:spacing w:before="200" w:after="80"/>
        <w:rPr/>
      </w:pPr>
      <w:r>
        <w:rPr>
          <w:b/>
          <w:bCs/>
        </w:rPr>
        <w:t>G2.3 Cabinet Committees</w:t>
      </w:r>
      <w:r>
        <w:rPr>
          <w:i/>
          <w:iCs/>
        </w:rPr>
        <w:t xml:space="preserve">  [Collegial — positive]</w:t>
      </w:r>
    </w:p>
    <w:p>
      <w:pPr>
        <w:pStyle w:val="Normal"/>
        <w:spacing w:lineRule="auto" w:line="300" w:before="0" w:after="100"/>
        <w:ind w:left="397"/>
        <w:rPr/>
      </w:pPr>
      <w:r>
        <w:rPr>
          <w:i/>
          <w:iCs/>
        </w:rPr>
        <w:t>How effectively do ministerial or cabinet committees coordinate cabinet proposals?</w:t>
      </w:r>
    </w:p>
    <w:p>
      <w:pPr>
        <w:pStyle w:val="Normal"/>
        <w:spacing w:lineRule="auto" w:line="278" w:before="0" w:after="80"/>
        <w:ind w:left="397"/>
        <w:rPr/>
      </w:pPr>
      <w:r>
        <w:rPr>
          <w:b/>
          <w:bCs/>
        </w:rPr>
        <w:t xml:space="preserve">9–10  </w:t>
      </w:r>
      <w:r>
        <w:rPr/>
        <w:t>The vast majority of cabinet proposals are reviewed and coordinated first by committees.</w:t>
      </w:r>
    </w:p>
    <w:p>
      <w:pPr>
        <w:pStyle w:val="Normal"/>
        <w:spacing w:lineRule="auto" w:line="278" w:before="0" w:after="80"/>
        <w:ind w:left="397"/>
        <w:rPr/>
      </w:pPr>
      <w:r>
        <w:rPr>
          <w:b/>
          <w:bCs/>
        </w:rPr>
        <w:t xml:space="preserve">6–8  </w:t>
      </w:r>
      <w:r>
        <w:rPr/>
        <w:t>Most cabinet proposals are reviewed and coordinated by committees, in particular proposals of political or strategic importance.</w:t>
      </w:r>
    </w:p>
    <w:p>
      <w:pPr>
        <w:pStyle w:val="Normal"/>
        <w:spacing w:lineRule="auto" w:line="278" w:before="0" w:after="80"/>
        <w:ind w:left="397"/>
        <w:rPr/>
      </w:pPr>
      <w:r>
        <w:rPr>
          <w:b/>
          <w:bCs/>
        </w:rPr>
        <w:t xml:space="preserve">3–5  </w:t>
      </w:r>
      <w:r>
        <w:rPr/>
        <w:t>There is little review or coordination of cabinet proposals by committees.</w:t>
      </w:r>
    </w:p>
    <w:p>
      <w:pPr>
        <w:pStyle w:val="Normal"/>
        <w:spacing w:lineRule="auto" w:line="278" w:before="0" w:after="80"/>
        <w:ind w:left="397"/>
        <w:rPr/>
      </w:pPr>
      <w:r>
        <w:rPr>
          <w:b/>
          <w:bCs/>
        </w:rPr>
        <w:t xml:space="preserve">1–2  </w:t>
      </w:r>
      <w:r>
        <w:rPr/>
        <w:t>There is no review or coordination of cabinet proposals by committees, or there is no ministerial or cabinet committee.</w:t>
      </w:r>
    </w:p>
    <w:p>
      <w:pPr>
        <w:pStyle w:val="Normal"/>
        <w:spacing w:before="200" w:after="80"/>
        <w:rPr/>
      </w:pPr>
      <w:r>
        <w:rPr>
          <w:b/>
          <w:bCs/>
        </w:rPr>
        <w:t>G5.1 Coherent Communication</w:t>
      </w:r>
      <w:r>
        <w:rPr>
          <w:i/>
          <w:iCs/>
        </w:rPr>
        <w:t xml:space="preserve">  [Collegial — positive]</w:t>
      </w:r>
    </w:p>
    <w:p>
      <w:pPr>
        <w:pStyle w:val="Normal"/>
        <w:spacing w:lineRule="auto" w:line="300" w:before="0" w:after="100"/>
        <w:ind w:left="397"/>
        <w:rPr/>
      </w:pPr>
      <w:r>
        <w:rPr>
          <w:i/>
          <w:iCs/>
        </w:rPr>
        <w:t>To what extent does the government achieve coherent communication?</w:t>
      </w:r>
    </w:p>
    <w:p>
      <w:pPr>
        <w:pStyle w:val="Normal"/>
        <w:spacing w:lineRule="auto" w:line="278" w:before="0" w:after="80"/>
        <w:ind w:left="397"/>
        <w:rPr/>
      </w:pPr>
      <w:r>
        <w:rPr>
          <w:b/>
          <w:bCs/>
        </w:rPr>
        <w:t xml:space="preserve">9–10  </w:t>
      </w:r>
      <w:r>
        <w:rPr/>
        <w:t>Ministries are highly successful in aligning their communication with government strategy.</w:t>
      </w:r>
    </w:p>
    <w:p>
      <w:pPr>
        <w:pStyle w:val="Normal"/>
        <w:spacing w:lineRule="auto" w:line="278" w:before="0" w:after="80"/>
        <w:ind w:left="397"/>
        <w:rPr/>
      </w:pPr>
      <w:r>
        <w:rPr>
          <w:b/>
          <w:bCs/>
        </w:rPr>
        <w:t xml:space="preserve">6–8  </w:t>
      </w:r>
      <w:r>
        <w:rPr/>
        <w:t>Ministries are most of the time highly successful in aligning their communication with government strategy.</w:t>
      </w:r>
    </w:p>
    <w:p>
      <w:pPr>
        <w:pStyle w:val="Normal"/>
        <w:spacing w:lineRule="auto" w:line="278" w:before="0" w:after="80"/>
        <w:ind w:left="397"/>
        <w:rPr/>
      </w:pPr>
      <w:r>
        <w:rPr>
          <w:b/>
          <w:bCs/>
        </w:rPr>
        <w:t xml:space="preserve">3–5  </w:t>
      </w:r>
      <w:r>
        <w:rPr/>
        <w:t>Ministries occasionally issue public statements that contradict the public communication of other ministries or the government strategy.</w:t>
      </w:r>
    </w:p>
    <w:p>
      <w:pPr>
        <w:pStyle w:val="Normal"/>
        <w:spacing w:lineRule="auto" w:line="278" w:before="0" w:after="80"/>
        <w:ind w:left="397"/>
        <w:rPr/>
      </w:pPr>
      <w:r>
        <w:rPr>
          <w:b/>
          <w:bCs/>
        </w:rPr>
        <w:t xml:space="preserve">1–2  </w:t>
      </w:r>
      <w:r>
        <w:rPr/>
        <w:t>Strategic communication planning does not exist; individual ministry statements regularly contradict each other, and messages are often not factually consistent with the government's strategy.</w:t>
      </w:r>
    </w:p>
    <w:p>
      <w:pPr>
        <w:pStyle w:val="Normal"/>
        <w:spacing w:before="200" w:after="120"/>
        <w:jc w:val="both"/>
        <w:rPr/>
      </w:pPr>
      <w:r>
        <w:rPr>
          <w:sz w:val="20"/>
          <w:szCs w:val="20"/>
          <w:lang w:val="de-DE"/>
        </w:rPr>
        <w:t xml:space="preserve">Source: SGI 2022 Codebook, Bertelsmann Stiftung. </w:t>
      </w:r>
      <w:hyperlink r:id="rId2">
        <w:r>
          <w:rPr>
            <w:rStyle w:val="Hyperlink"/>
            <w:sz w:val="20"/>
            <w:szCs w:val="20"/>
          </w:rPr>
          <w:t>https://www.sgi-network.org/docs/2022/basics/SGI2022_Codebook.pdf</w:t>
        </w:r>
      </w:hyperlink>
      <w:r>
        <w:rPr>
          <w:sz w:val="20"/>
          <w:szCs w:val="20"/>
        </w:rPr>
        <w:t xml:space="preserve">; see also: </w:t>
      </w:r>
      <w:hyperlink r:id="rId3">
        <w:r>
          <w:rPr>
            <w:rStyle w:val="Hyperlink"/>
            <w:sz w:val="20"/>
            <w:szCs w:val="20"/>
          </w:rPr>
          <w:t>https://www.sgi-network.org/2022/Methodology</w:t>
        </w:r>
      </w:hyperlink>
      <w:r>
        <w:rPr>
          <w:sz w:val="20"/>
          <w:szCs w:val="20"/>
        </w:rPr>
        <w:t xml:space="preserve">; </w:t>
      </w:r>
      <w:hyperlink r:id="rId4">
        <w:r>
          <w:rPr>
            <w:rStyle w:val="Hyperlink"/>
            <w:sz w:val="20"/>
            <w:szCs w:val="20"/>
          </w:rPr>
          <w:t>https://www.sgi-network.org/2024/Publications</w:t>
        </w:r>
      </w:hyperlink>
      <w:r>
        <w:rPr>
          <w:sz w:val="20"/>
          <w:szCs w:val="20"/>
        </w:rPr>
        <w:t xml:space="preserve">. </w:t>
      </w:r>
    </w:p>
    <w:p>
      <w:pPr>
        <w:pStyle w:val="Normal"/>
        <w:spacing w:before="0" w:after="120"/>
        <w:jc w:val="both"/>
        <w:rPr/>
      </w:pPr>
      <w:r>
        <w:rPr>
          <w:sz w:val="20"/>
          <w:szCs w:val="20"/>
        </w:rPr>
        <w:t>Note: Sweden and Norway do not have institutionalized cabinet committees in the conventional sense; for these two countries the Coherent Communication indicator (G5.1) is substituted for Cabinet Committees (G2.3) in the Collegial dimension, as described in Endnote 2.</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trackRevision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360" w:before="0" w:after="12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qFormat/>
    <w:pPr>
      <w:widowControl/>
      <w:bidi w:val="0"/>
      <w:spacing w:lineRule="auto" w:line="360" w:before="0" w:after="120"/>
      <w:jc w:val="left"/>
      <w:outlineLvl w:val="0"/>
    </w:pPr>
    <w:rPr>
      <w:rFonts w:ascii="Times New Roman" w:hAnsi="Times New Roman" w:eastAsia="Times New Roman" w:cs="Times New Roman"/>
      <w:color w:val="2E74B5"/>
      <w:kern w:val="0"/>
      <w:sz w:val="32"/>
      <w:szCs w:val="32"/>
      <w:lang w:val="en-US" w:eastAsia="en-US" w:bidi="ar-SA"/>
    </w:rPr>
  </w:style>
  <w:style w:type="paragraph" w:styleId="Heading2">
    <w:name w:val="Heading 2"/>
    <w:qFormat/>
    <w:pPr>
      <w:widowControl/>
      <w:bidi w:val="0"/>
      <w:spacing w:lineRule="auto" w:line="360" w:before="0" w:after="120"/>
      <w:jc w:val="left"/>
      <w:outlineLvl w:val="1"/>
    </w:pPr>
    <w:rPr>
      <w:rFonts w:ascii="Times New Roman" w:hAnsi="Times New Roman" w:eastAsia="Times New Roman" w:cs="Times New Roman"/>
      <w:color w:val="2E74B5"/>
      <w:kern w:val="0"/>
      <w:sz w:val="26"/>
      <w:szCs w:val="26"/>
      <w:lang w:val="en-US" w:eastAsia="en-US" w:bidi="ar-SA"/>
    </w:rPr>
  </w:style>
  <w:style w:type="paragraph" w:styleId="Heading3">
    <w:name w:val="Heading 3"/>
    <w:qFormat/>
    <w:pPr>
      <w:widowControl/>
      <w:bidi w:val="0"/>
      <w:spacing w:lineRule="auto" w:line="360" w:before="0" w:after="120"/>
      <w:jc w:val="left"/>
      <w:outlineLvl w:val="2"/>
    </w:pPr>
    <w:rPr>
      <w:rFonts w:ascii="Times New Roman" w:hAnsi="Times New Roman" w:eastAsia="Times New Roman" w:cs="Times New Roman"/>
      <w:color w:val="1F4D78"/>
      <w:kern w:val="0"/>
      <w:sz w:val="24"/>
      <w:szCs w:val="24"/>
      <w:lang w:val="en-US" w:eastAsia="en-US" w:bidi="ar-SA"/>
    </w:rPr>
  </w:style>
  <w:style w:type="paragraph" w:styleId="Heading4">
    <w:name w:val="Heading 4"/>
    <w:qFormat/>
    <w:pPr>
      <w:widowControl/>
      <w:bidi w:val="0"/>
      <w:spacing w:lineRule="auto" w:line="360" w:before="0" w:after="120"/>
      <w:jc w:val="left"/>
      <w:outlineLvl w:val="3"/>
    </w:pPr>
    <w:rPr>
      <w:rFonts w:ascii="Times New Roman" w:hAnsi="Times New Roman" w:eastAsia="Times New Roman" w:cs="Times New Roman"/>
      <w:i/>
      <w:iCs/>
      <w:color w:val="2E74B5"/>
      <w:kern w:val="0"/>
      <w:sz w:val="24"/>
      <w:szCs w:val="24"/>
      <w:lang w:val="en-US" w:eastAsia="en-US" w:bidi="ar-SA"/>
    </w:rPr>
  </w:style>
  <w:style w:type="paragraph" w:styleId="Heading5">
    <w:name w:val="Heading 5"/>
    <w:qFormat/>
    <w:pPr>
      <w:widowControl/>
      <w:bidi w:val="0"/>
      <w:spacing w:lineRule="auto" w:line="360" w:before="0" w:after="120"/>
      <w:jc w:val="left"/>
      <w:outlineLvl w:val="4"/>
    </w:pPr>
    <w:rPr>
      <w:rFonts w:ascii="Times New Roman" w:hAnsi="Times New Roman" w:eastAsia="Times New Roman" w:cs="Times New Roman"/>
      <w:color w:val="2E74B5"/>
      <w:kern w:val="0"/>
      <w:sz w:val="24"/>
      <w:szCs w:val="24"/>
      <w:lang w:val="en-US" w:eastAsia="en-US" w:bidi="ar-SA"/>
    </w:rPr>
  </w:style>
  <w:style w:type="paragraph" w:styleId="Heading6">
    <w:name w:val="Heading 6"/>
    <w:qFormat/>
    <w:pPr>
      <w:widowControl/>
      <w:bidi w:val="0"/>
      <w:spacing w:lineRule="auto" w:line="360" w:before="0" w:after="120"/>
      <w:jc w:val="left"/>
      <w:outlineLvl w:val="5"/>
    </w:pPr>
    <w:rPr>
      <w:rFonts w:ascii="Times New Roman" w:hAnsi="Times New Roman" w:eastAsia="Times New Roman" w:cs="Times New Roman"/>
      <w:color w:val="1F4D78"/>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unotentextZchn" w:customStyle="1">
    <w:name w:val="Fußnotentext Zchn"/>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ntextZchn" w:customStyle="1">
    <w:name w:val="Endnotentext Zchn"/>
    <w:link w:val="EndnoteText"/>
    <w:uiPriority w:val="99"/>
    <w:semiHidden/>
    <w:unhideWhenUsed/>
    <w:qFormat/>
    <w:rPr>
      <w:sz w:val="20"/>
      <w:szCs w:val="20"/>
    </w:rPr>
  </w:style>
  <w:style w:type="character" w:styleId="SprechblasentextZchn" w:customStyle="1">
    <w:name w:val="Sprechblasentext Zchn"/>
    <w:basedOn w:val="DefaultParagraphFont"/>
    <w:link w:val="BalloonText"/>
    <w:uiPriority w:val="99"/>
    <w:semiHidden/>
    <w:qFormat/>
    <w:rsid w:val="00b763ff"/>
    <w:rPr>
      <w:rFonts w:ascii="Tahoma" w:hAnsi="Tahoma" w:cs="Tahoma"/>
      <w:sz w:val="16"/>
      <w:szCs w:val="16"/>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qFormat/>
    <w:pPr>
      <w:widowControl/>
      <w:bidi w:val="0"/>
      <w:spacing w:lineRule="auto" w:line="360" w:before="0" w:after="120"/>
      <w:jc w:val="left"/>
    </w:pPr>
    <w:rPr>
      <w:rFonts w:ascii="Times New Roman" w:hAnsi="Times New Roman" w:eastAsia="Times New Roman" w:cs="Times New Roman"/>
      <w:color w:val="auto"/>
      <w:kern w:val="0"/>
      <w:sz w:val="56"/>
      <w:szCs w:val="56"/>
      <w:lang w:val="en-US" w:eastAsia="en-US" w:bidi="ar-SA"/>
    </w:rPr>
  </w:style>
  <w:style w:type="paragraph" w:styleId="Fett1" w:customStyle="1">
    <w:name w:val="Fett1"/>
    <w:qFormat/>
    <w:pPr>
      <w:widowControl/>
      <w:bidi w:val="0"/>
      <w:spacing w:lineRule="auto" w:line="360" w:before="0" w:after="120"/>
      <w:jc w:val="left"/>
    </w:pPr>
    <w:rPr>
      <w:rFonts w:ascii="Times New Roman" w:hAnsi="Times New Roman" w:eastAsia="Times New Roman" w:cs="Times New Roman"/>
      <w:b/>
      <w:bCs/>
      <w:color w:val="auto"/>
      <w:kern w:val="0"/>
      <w:sz w:val="24"/>
      <w:szCs w:val="24"/>
      <w:lang w:val="en-US" w:eastAsia="en-US" w:bidi="ar-SA"/>
    </w:rPr>
  </w:style>
  <w:style w:type="paragraph" w:styleId="ListParagraph">
    <w:name w:val="List Paragraph"/>
    <w:qFormat/>
    <w:pPr>
      <w:widowControl/>
      <w:bidi w:val="0"/>
      <w:spacing w:lineRule="auto" w:line="360" w:before="0" w:after="120"/>
      <w:jc w:val="left"/>
    </w:pPr>
    <w:rPr>
      <w:rFonts w:ascii="Times New Roman" w:hAnsi="Times New Roman" w:eastAsia="Times New Roman" w:cs="Times New Roman"/>
      <w:color w:val="auto"/>
      <w:kern w:val="0"/>
      <w:sz w:val="24"/>
      <w:szCs w:val="24"/>
      <w:lang w:val="en-US" w:eastAsia="en-US" w:bidi="ar-SA"/>
    </w:rPr>
  </w:style>
  <w:style w:type="paragraph" w:styleId="FootnoteText">
    <w:name w:val="Footnote Text"/>
    <w:link w:val="FunotentextZchn"/>
    <w:uiPriority w:val="99"/>
    <w:semiHidden/>
    <w:unhideWhenUsed/>
    <w:pPr>
      <w:widowControl/>
      <w:bidi w:val="0"/>
      <w:spacing w:lineRule="auto" w:line="240" w:before="0" w:after="0"/>
      <w:jc w:val="left"/>
    </w:pPr>
    <w:rPr>
      <w:rFonts w:ascii="Times New Roman" w:hAnsi="Times New Roman" w:eastAsia="Times New Roman" w:cs="Times New Roman"/>
      <w:color w:val="auto"/>
      <w:kern w:val="0"/>
      <w:sz w:val="20"/>
      <w:szCs w:val="20"/>
      <w:lang w:val="en-US" w:eastAsia="en-US" w:bidi="ar-SA"/>
    </w:rPr>
  </w:style>
  <w:style w:type="paragraph" w:styleId="EndnoteText">
    <w:name w:val="Endnote Text"/>
    <w:link w:val="EndnotentextZchn"/>
    <w:uiPriority w:val="99"/>
    <w:semiHidden/>
    <w:unhideWhenUsed/>
    <w:pPr>
      <w:widowControl/>
      <w:bidi w:val="0"/>
      <w:spacing w:lineRule="auto" w:line="240" w:before="0" w:after="0"/>
      <w:jc w:val="left"/>
    </w:pPr>
    <w:rPr>
      <w:rFonts w:ascii="Times New Roman" w:hAnsi="Times New Roman" w:eastAsia="Times New Roman" w:cs="Times New Roman"/>
      <w:color w:val="auto"/>
      <w:kern w:val="0"/>
      <w:sz w:val="20"/>
      <w:szCs w:val="20"/>
      <w:lang w:val="en-US" w:eastAsia="en-US" w:bidi="ar-SA"/>
    </w:rPr>
  </w:style>
  <w:style w:type="paragraph" w:styleId="BalloonText">
    <w:name w:val="Balloon Text"/>
    <w:basedOn w:val="Normal"/>
    <w:link w:val="SprechblasentextZchn"/>
    <w:uiPriority w:val="99"/>
    <w:semiHidden/>
    <w:unhideWhenUsed/>
    <w:qFormat/>
    <w:rsid w:val="00b763ff"/>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gi-network.org/docs/2022/basics/SGI2022_Codebook.pdf" TargetMode="External"/><Relationship Id="rId3" Type="http://schemas.openxmlformats.org/officeDocument/2006/relationships/hyperlink" Target="https://www.sgi-network.org/2022/Methodology" TargetMode="External"/><Relationship Id="rId4" Type="http://schemas.openxmlformats.org/officeDocument/2006/relationships/hyperlink" Target="https://www.sgi-network.org/2024/Publications"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3</Pages>
  <Words>702</Words>
  <Characters>4362</Characters>
  <CharactersWithSpaces>5036</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2026-08-09T14:16:00Z</dcterms:created>
  <dc:creator>Un-named</dc:creator>
  <dc:description/>
  <dc:language>en-US</dc:language>
  <cp:lastModifiedBy/>
  <dcterms:modified xsi:type="dcterms:W3CDTF">2026-08-09T18:53:08Z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