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line="360" w:lineRule="auto" w:after="0" w:before="0"/>
        <w:jc w:val="center"/>
      </w:pPr>
      <w:r>
        <w:rPr>
          <w:rFonts w:ascii="Times New Roman" w:hAnsi="Times New Roman" w:cs="Times New Roman"/>
          <w:b/>
          <w:i w:val="0"/>
          <w:color w:val="000000"/>
          <w:sz w:val="22"/>
        </w:rPr>
        <w:t>Research Instruments and Measurement Protocol</w:t>
      </w:r>
    </w:p>
    <w:p>
      <w:pPr>
        <w:keepNext w:val="0"/>
        <w:spacing w:line="360" w:lineRule="auto" w:after="0" w:before="0"/>
        <w:jc w:val="center"/>
      </w:pPr>
      <w:r>
        <w:rPr>
          <w:rFonts w:ascii="Times New Roman" w:hAnsi="Times New Roman" w:cs="Times New Roman"/>
          <w:b w:val="0"/>
          <w:i w:val="0"/>
          <w:color w:val="000000"/>
          <w:sz w:val="22"/>
        </w:rPr>
        <w:t>Epistemic Responsibility in Arabic as a Second/Foreign Language Learners</w:t>
      </w:r>
    </w:p>
    <w:p>
      <w:pPr>
        <w:keepNext w:val="0"/>
        <w:spacing w:line="360" w:lineRule="auto" w:after="0" w:before="0"/>
      </w:pPr>
    </w:p>
    <w:p>
      <w:pPr>
        <w:keepNext/>
        <w:spacing w:line="360" w:lineRule="auto" w:after="0" w:before="0"/>
        <w:jc w:val="center"/>
      </w:pPr>
      <w:r>
        <w:rPr>
          <w:rFonts w:ascii="Times New Roman" w:hAnsi="Times New Roman" w:cs="Times New Roman"/>
          <w:b/>
          <w:i w:val="0"/>
          <w:color w:val="000000"/>
          <w:sz w:val="22"/>
        </w:rPr>
        <w:t>Participants and Sampling Frame</w:t>
      </w:r>
    </w:p>
    <w:p>
      <w:pPr>
        <w:keepNext w:val="0"/>
        <w:spacing w:line="360" w:lineRule="auto" w:after="0" w:before="0"/>
      </w:pPr>
      <w:r>
        <w:rPr>
          <w:rFonts w:ascii="Times New Roman" w:hAnsi="Times New Roman" w:cs="Times New Roman"/>
          <w:b w:val="0"/>
          <w:i w:val="0"/>
          <w:color w:val="000000"/>
          <w:sz w:val="22"/>
        </w:rPr>
        <w:t>The quantitative sampling frame consists of 65 scholarship learners enrolled in the Arabic Language Unit for the 1447 AH / 2025–2026 CE semester. The companion raw-data workbook provides the full case-level sampling frame using anonymized student identifiers, instructional level, country of origin, and assumed script background.</w:t>
      </w:r>
    </w:p>
    <w:p>
      <w:pPr>
        <w:keepNext/>
        <w:spacing w:line="360" w:lineRule="auto" w:after="0" w:before="0"/>
        <w:jc w:val="center"/>
      </w:pPr>
      <w:r>
        <w:rPr>
          <w:rFonts w:ascii="Times New Roman" w:hAnsi="Times New Roman" w:cs="Times New Roman"/>
          <w:b/>
          <w:i w:val="0"/>
          <w:color w:val="000000"/>
          <w:sz w:val="22"/>
        </w:rPr>
        <w:t>Purpose of the Instruments</w:t>
      </w:r>
    </w:p>
    <w:p>
      <w:pPr>
        <w:keepNext w:val="0"/>
        <w:spacing w:line="360" w:lineRule="auto" w:after="0" w:before="0"/>
      </w:pPr>
      <w:r>
        <w:rPr>
          <w:rFonts w:ascii="Times New Roman" w:hAnsi="Times New Roman" w:cs="Times New Roman"/>
          <w:b w:val="0"/>
          <w:i w:val="0"/>
          <w:color w:val="000000"/>
          <w:sz w:val="22"/>
        </w:rPr>
        <w:t>The instruments are designed to test epistemic responsibility across five dimensions: source marking, evidential type, certainty calibration, argumentative linkage, and register appropriateness. Together, the tasks elicit written and oral evidence of how learners distinguish direct observation, reportative knowledge, inference, probability, personal opinion, and academic evidence in Modern Standard Arabic.</w:t>
      </w:r>
    </w:p>
    <w:p>
      <w:pPr>
        <w:keepNext/>
        <w:spacing w:line="360" w:lineRule="auto" w:after="0" w:before="0"/>
      </w:pPr>
      <w:r>
        <w:rPr>
          <w:rFonts w:ascii="Times New Roman" w:hAnsi="Times New Roman" w:cs="Times New Roman"/>
          <w:b/>
          <w:i w:val="0"/>
          <w:color w:val="000000"/>
          <w:sz w:val="22"/>
        </w:rPr>
        <w:t>Table 1</w:t>
      </w:r>
    </w:p>
    <w:p>
      <w:pPr>
        <w:keepNext/>
        <w:spacing w:line="360" w:lineRule="auto" w:after="80" w:before="0"/>
      </w:pPr>
      <w:r>
        <w:rPr>
          <w:rFonts w:ascii="Times New Roman" w:hAnsi="Times New Roman" w:cs="Times New Roman"/>
          <w:b w:val="0"/>
          <w:i/>
          <w:color w:val="000000"/>
          <w:sz w:val="22"/>
        </w:rPr>
        <w:t>Dimensions of Epistemic Responsibility Measured by the Instruments</w:t>
      </w:r>
    </w:p>
    <w:tbl>
      <w:tblPr>
        <w:tblStyle w:val="TableGrid"/>
        <w:tblW w:type="auto" w:w="0"/>
        <w:jc w:val="center"/>
        <w:tblLook w:firstColumn="1" w:firstRow="1" w:lastColumn="0" w:lastRow="0" w:noHBand="0" w:noVBand="1" w:val="04A0"/>
      </w:tblPr>
      <w:tblGrid>
        <w:gridCol w:w="4680"/>
        <w:gridCol w:w="4680"/>
      </w:tblGrid>
      <w:tr>
        <w:trPr>
          <w:tblHeader w:val="true"/>
        </w:trPr>
        <w:tc>
          <w:tcPr>
            <w:tcW w:type="dxa" w:w="3168"/>
            <w:shd w:fill="D9EAF7"/>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i w:val="0"/>
                <w:color w:val="000000"/>
                <w:sz w:val="22"/>
              </w:rPr>
              <w:t>Dimension</w:t>
            </w:r>
          </w:p>
        </w:tc>
        <w:tc>
          <w:tcPr>
            <w:tcW w:type="dxa" w:w="6624"/>
            <w:shd w:fill="D9EAF7"/>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i w:val="0"/>
                <w:color w:val="000000"/>
                <w:sz w:val="22"/>
              </w:rPr>
              <w:t>Operational Focus</w:t>
            </w:r>
          </w:p>
        </w:tc>
      </w:tr>
      <w:tr>
        <w:tc>
          <w:tcPr>
            <w:tcW w:type="dxa" w:w="3168"/>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Source marking</w:t>
            </w:r>
          </w:p>
        </w:tc>
        <w:tc>
          <w:tcPr>
            <w:tcW w:type="dxa" w:w="6624"/>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Whether the learner identifies where information comes from.</w:t>
            </w:r>
          </w:p>
        </w:tc>
      </w:tr>
      <w:tr>
        <w:tc>
          <w:tcPr>
            <w:tcW w:type="dxa" w:w="3168"/>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Evidential type</w:t>
            </w:r>
          </w:p>
        </w:tc>
        <w:tc>
          <w:tcPr>
            <w:tcW w:type="dxa" w:w="6624"/>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Whether the learner distinguishes visual evidence, hearsay, inference, and probability.</w:t>
            </w:r>
          </w:p>
        </w:tc>
      </w:tr>
      <w:tr>
        <w:tc>
          <w:tcPr>
            <w:tcW w:type="dxa" w:w="3168"/>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Certainty calibration</w:t>
            </w:r>
          </w:p>
        </w:tc>
        <w:tc>
          <w:tcPr>
            <w:tcW w:type="dxa" w:w="6624"/>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Whether the certainty of the claim matches the evidence available.</w:t>
            </w:r>
          </w:p>
        </w:tc>
      </w:tr>
      <w:tr>
        <w:tc>
          <w:tcPr>
            <w:tcW w:type="dxa" w:w="3168"/>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Argumentative linkage</w:t>
            </w:r>
          </w:p>
        </w:tc>
        <w:tc>
          <w:tcPr>
            <w:tcW w:type="dxa" w:w="6624"/>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Whether claims, evidence, and conclusions are connected logically.</w:t>
            </w:r>
          </w:p>
        </w:tc>
      </w:tr>
      <w:tr>
        <w:tc>
          <w:tcPr>
            <w:tcW w:type="dxa" w:w="3168"/>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Register appropriateness</w:t>
            </w:r>
          </w:p>
        </w:tc>
        <w:tc>
          <w:tcPr>
            <w:tcW w:type="dxa" w:w="6624"/>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Whether formal and informal language choices fit the task context.</w:t>
            </w:r>
          </w:p>
        </w:tc>
      </w:tr>
    </w:tbl>
    <w:p>
      <w:pPr>
        <w:keepNext w:val="0"/>
        <w:spacing w:line="360" w:lineRule="auto" w:after="0" w:before="0"/>
      </w:pPr>
      <w:r>
        <w:rPr>
          <w:rFonts w:ascii="Times New Roman" w:hAnsi="Times New Roman" w:cs="Times New Roman"/>
          <w:b w:val="0"/>
          <w:i/>
          <w:color w:val="000000"/>
          <w:sz w:val="22"/>
        </w:rPr>
        <w:t xml:space="preserve">Note. </w:t>
      </w:r>
      <w:r>
        <w:rPr>
          <w:rFonts w:ascii="Times New Roman" w:hAnsi="Times New Roman" w:cs="Times New Roman"/>
          <w:b w:val="0"/>
          <w:i w:val="0"/>
          <w:color w:val="000000"/>
          <w:sz w:val="22"/>
        </w:rPr>
        <w:t>These dimensions guide scoring across the written production, retelling, opinion paragraph, and oral interview tasks.</w:t>
      </w:r>
    </w:p>
    <w:p>
      <w:pPr>
        <w:keepNext w:val="0"/>
        <w:spacing w:line="360" w:lineRule="auto" w:after="0" w:before="0"/>
      </w:pPr>
    </w:p>
    <w:p>
      <w:pPr>
        <w:keepNext/>
        <w:spacing w:line="360" w:lineRule="auto" w:after="0" w:before="0"/>
        <w:jc w:val="center"/>
      </w:pPr>
      <w:r>
        <w:rPr>
          <w:rFonts w:ascii="Times New Roman" w:hAnsi="Times New Roman" w:cs="Times New Roman"/>
          <w:b/>
          <w:i w:val="0"/>
          <w:color w:val="000000"/>
          <w:sz w:val="22"/>
        </w:rPr>
        <w:t>Instrument 1: Learner Background Questionnaire</w:t>
      </w:r>
    </w:p>
    <w:p>
      <w:pPr>
        <w:keepNext w:val="0"/>
        <w:spacing w:line="360" w:lineRule="auto" w:after="0" w:before="0"/>
      </w:pPr>
      <w:r>
        <w:rPr>
          <w:rFonts w:ascii="Times New Roman" w:hAnsi="Times New Roman" w:cs="Times New Roman"/>
          <w:b w:val="0"/>
          <w:i w:val="0"/>
          <w:color w:val="000000"/>
          <w:sz w:val="22"/>
        </w:rPr>
        <w:t>Instruction to participant: Please complete the following background information before beginning the language tasks.</w:t>
      </w:r>
    </w:p>
    <w:p>
      <w:pPr>
        <w:keepNext/>
        <w:spacing w:line="360" w:lineRule="auto" w:after="0" w:before="0"/>
      </w:pPr>
      <w:r>
        <w:rPr>
          <w:rFonts w:ascii="Times New Roman" w:hAnsi="Times New Roman" w:cs="Times New Roman"/>
          <w:b/>
          <w:i w:val="0"/>
          <w:color w:val="000000"/>
          <w:sz w:val="22"/>
        </w:rPr>
        <w:t>Table 2</w:t>
      </w:r>
    </w:p>
    <w:p>
      <w:pPr>
        <w:keepNext/>
        <w:spacing w:line="360" w:lineRule="auto" w:after="80" w:before="0"/>
      </w:pPr>
      <w:r>
        <w:rPr>
          <w:rFonts w:ascii="Times New Roman" w:hAnsi="Times New Roman" w:cs="Times New Roman"/>
          <w:b w:val="0"/>
          <w:i/>
          <w:color w:val="000000"/>
          <w:sz w:val="22"/>
        </w:rPr>
        <w:t>Learner Background Questionnaire Items</w:t>
      </w:r>
    </w:p>
    <w:tbl>
      <w:tblPr>
        <w:tblStyle w:val="TableGrid"/>
        <w:tblW w:type="auto" w:w="0"/>
        <w:jc w:val="center"/>
        <w:tblLook w:firstColumn="1" w:firstRow="1" w:lastColumn="0" w:lastRow="0" w:noHBand="0" w:noVBand="1" w:val="04A0"/>
      </w:tblPr>
      <w:tblGrid>
        <w:gridCol w:w="4680"/>
        <w:gridCol w:w="4680"/>
      </w:tblGrid>
      <w:tr>
        <w:trPr>
          <w:tblHeader w:val="true"/>
        </w:trPr>
        <w:tc>
          <w:tcPr>
            <w:tcW w:type="dxa" w:w="3888"/>
            <w:shd w:fill="D9EAF7"/>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i w:val="0"/>
                <w:color w:val="000000"/>
                <w:sz w:val="22"/>
              </w:rPr>
              <w:t>Item</w:t>
            </w:r>
          </w:p>
        </w:tc>
        <w:tc>
          <w:tcPr>
            <w:tcW w:type="dxa" w:w="6336"/>
            <w:shd w:fill="D9EAF7"/>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i w:val="0"/>
                <w:color w:val="000000"/>
                <w:sz w:val="22"/>
              </w:rPr>
              <w:t>Response Format</w:t>
            </w:r>
          </w:p>
        </w:tc>
      </w:tr>
      <w:tr>
        <w:tc>
          <w:tcPr>
            <w:tcW w:type="dxa" w:w="3888"/>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Instructional Level</w:t>
            </w:r>
          </w:p>
        </w:tc>
        <w:tc>
          <w:tcPr>
            <w:tcW w:type="dxa" w:w="6336"/>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Select one: 1 / 2 / 3 / 4</w:t>
            </w:r>
          </w:p>
        </w:tc>
      </w:tr>
      <w:tr>
        <w:tc>
          <w:tcPr>
            <w:tcW w:type="dxa" w:w="3888"/>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L1 (First Language)</w:t>
            </w:r>
          </w:p>
        </w:tc>
        <w:tc>
          <w:tcPr>
            <w:tcW w:type="dxa" w:w="6336"/>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Open response: ______________________________</w:t>
            </w:r>
          </w:p>
        </w:tc>
      </w:tr>
      <w:tr>
        <w:tc>
          <w:tcPr>
            <w:tcW w:type="dxa" w:w="3888"/>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Prior Arabic Study</w:t>
            </w:r>
          </w:p>
        </w:tc>
        <w:tc>
          <w:tcPr>
            <w:tcW w:type="dxa" w:w="6336"/>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Years: ______</w:t>
            </w:r>
          </w:p>
        </w:tc>
      </w:tr>
      <w:tr>
        <w:tc>
          <w:tcPr>
            <w:tcW w:type="dxa" w:w="3888"/>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Prior Residence in an Arabic-speaking Country</w:t>
            </w:r>
          </w:p>
        </w:tc>
        <w:tc>
          <w:tcPr>
            <w:tcW w:type="dxa" w:w="6336"/>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Select one: Yes / No</w:t>
            </w:r>
          </w:p>
        </w:tc>
      </w:tr>
      <w:tr>
        <w:tc>
          <w:tcPr>
            <w:tcW w:type="dxa" w:w="3888"/>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Religious/Qur’anic Exposure</w:t>
            </w:r>
          </w:p>
        </w:tc>
        <w:tc>
          <w:tcPr>
            <w:tcW w:type="dxa" w:w="6336"/>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Scale: 1 = very low, 2 = low, 3 = moderate, 4 = high, 5 = very high</w:t>
            </w:r>
          </w:p>
        </w:tc>
      </w:tr>
      <w:tr>
        <w:tc>
          <w:tcPr>
            <w:tcW w:type="dxa" w:w="3888"/>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Script Background</w:t>
            </w:r>
          </w:p>
        </w:tc>
        <w:tc>
          <w:tcPr>
            <w:tcW w:type="dxa" w:w="6336"/>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Select one: Arabic / Latin / Other: __________________</w:t>
            </w:r>
          </w:p>
        </w:tc>
      </w:tr>
    </w:tbl>
    <w:p>
      <w:pPr>
        <w:keepNext w:val="0"/>
        <w:spacing w:line="360" w:lineRule="auto" w:after="0" w:before="0"/>
      </w:pPr>
      <w:r>
        <w:rPr>
          <w:rFonts w:ascii="Times New Roman" w:hAnsi="Times New Roman" w:cs="Times New Roman"/>
          <w:b w:val="0"/>
          <w:i/>
          <w:color w:val="000000"/>
          <w:sz w:val="22"/>
        </w:rPr>
        <w:t xml:space="preserve">Note. </w:t>
      </w:r>
      <w:r>
        <w:rPr>
          <w:rFonts w:ascii="Times New Roman" w:hAnsi="Times New Roman" w:cs="Times New Roman"/>
          <w:b w:val="0"/>
          <w:i w:val="0"/>
          <w:color w:val="000000"/>
          <w:sz w:val="22"/>
        </w:rPr>
        <w:t>This questionnaire is used to contextualize learner background before administering the production and interview tasks.</w:t>
      </w:r>
    </w:p>
    <w:p>
      <w:pPr>
        <w:keepNext w:val="0"/>
        <w:spacing w:line="360" w:lineRule="auto" w:after="0" w:before="0"/>
      </w:pPr>
    </w:p>
    <w:p>
      <w:pPr>
        <w:keepNext/>
        <w:spacing w:line="360" w:lineRule="auto" w:after="0" w:before="0"/>
        <w:jc w:val="center"/>
      </w:pPr>
      <w:r>
        <w:rPr>
          <w:rFonts w:ascii="Times New Roman" w:hAnsi="Times New Roman" w:cs="Times New Roman"/>
          <w:b/>
          <w:i w:val="0"/>
          <w:color w:val="000000"/>
          <w:sz w:val="22"/>
        </w:rPr>
        <w:t>Instrument 2: Source-Contrast Production Task</w:t>
      </w:r>
    </w:p>
    <w:p>
      <w:pPr>
        <w:keepNext w:val="0"/>
        <w:spacing w:line="360" w:lineRule="auto" w:after="0" w:before="0"/>
      </w:pPr>
      <w:r>
        <w:rPr>
          <w:rFonts w:ascii="Times New Roman" w:hAnsi="Times New Roman" w:cs="Times New Roman"/>
          <w:b w:val="0"/>
          <w:i w:val="0"/>
          <w:color w:val="000000"/>
          <w:sz w:val="22"/>
        </w:rPr>
        <w:t>Instruction to participant: Complete the following sentences in Modern Standard Arabic (MSA).</w:t>
      </w:r>
    </w:p>
    <w:p>
      <w:pPr>
        <w:keepNext/>
        <w:spacing w:line="360" w:lineRule="auto" w:after="0" w:before="0"/>
      </w:pPr>
      <w:r>
        <w:rPr>
          <w:rFonts w:ascii="Times New Roman" w:hAnsi="Times New Roman" w:cs="Times New Roman"/>
          <w:b/>
          <w:i w:val="0"/>
          <w:color w:val="000000"/>
          <w:sz w:val="22"/>
        </w:rPr>
        <w:t>Table 3</w:t>
      </w:r>
    </w:p>
    <w:p>
      <w:pPr>
        <w:keepNext/>
        <w:spacing w:line="360" w:lineRule="auto" w:after="80" w:before="0"/>
      </w:pPr>
      <w:r>
        <w:rPr>
          <w:rFonts w:ascii="Times New Roman" w:hAnsi="Times New Roman" w:cs="Times New Roman"/>
          <w:b w:val="0"/>
          <w:i/>
          <w:color w:val="000000"/>
          <w:sz w:val="22"/>
        </w:rPr>
        <w:t>Source-Contrast Production Prompts</w:t>
      </w:r>
    </w:p>
    <w:tbl>
      <w:tblPr>
        <w:tblStyle w:val="TableGrid"/>
        <w:tblW w:type="auto" w:w="0"/>
        <w:jc w:val="center"/>
        <w:tblLook w:firstColumn="1" w:firstRow="1" w:lastColumn="0" w:lastRow="0" w:noHBand="0" w:noVBand="1" w:val="04A0"/>
      </w:tblPr>
      <w:tblGrid>
        <w:gridCol w:w="2340"/>
        <w:gridCol w:w="2340"/>
        <w:gridCol w:w="2340"/>
        <w:gridCol w:w="2340"/>
      </w:tblGrid>
      <w:tr>
        <w:trPr>
          <w:tblHeader w:val="true"/>
        </w:trPr>
        <w:tc>
          <w:tcPr>
            <w:tcW w:type="dxa" w:w="2088"/>
            <w:shd w:fill="D9EAF7"/>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i w:val="0"/>
                <w:color w:val="000000"/>
                <w:sz w:val="22"/>
              </w:rPr>
              <w:t>Evidence Condition</w:t>
            </w:r>
          </w:p>
        </w:tc>
        <w:tc>
          <w:tcPr>
            <w:tcW w:type="dxa" w:w="3168"/>
            <w:shd w:fill="D9EAF7"/>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i w:val="0"/>
                <w:color w:val="000000"/>
                <w:sz w:val="22"/>
              </w:rPr>
              <w:t>Sentence Prompt</w:t>
            </w:r>
          </w:p>
        </w:tc>
        <w:tc>
          <w:tcPr>
            <w:tcW w:type="dxa" w:w="2376"/>
            <w:shd w:fill="D9EAF7"/>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i w:val="0"/>
                <w:color w:val="000000"/>
                <w:sz w:val="22"/>
              </w:rPr>
              <w:t>Target Marker</w:t>
            </w:r>
          </w:p>
        </w:tc>
        <w:tc>
          <w:tcPr>
            <w:tcW w:type="dxa" w:w="2880"/>
            <w:shd w:fill="D9EAF7"/>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i w:val="0"/>
                <w:color w:val="000000"/>
                <w:sz w:val="22"/>
              </w:rPr>
              <w:t>Evidential Function</w:t>
            </w:r>
          </w:p>
        </w:tc>
      </w:tr>
      <w:tr>
        <w:tc>
          <w:tcPr>
            <w:tcW w:type="dxa" w:w="2088"/>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Visual evidence</w:t>
            </w:r>
          </w:p>
        </w:tc>
        <w:tc>
          <w:tcPr>
            <w:tcW w:type="dxa" w:w="3168"/>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I looked out the window and saw . . .</w:t>
            </w:r>
          </w:p>
        </w:tc>
        <w:tc>
          <w:tcPr>
            <w:tcW w:type="dxa" w:w="2376"/>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raʾaytu (رأيتُ)</w:t>
            </w:r>
          </w:p>
        </w:tc>
        <w:tc>
          <w:tcPr>
            <w:tcW w:type="dxa" w:w="2880"/>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Direct visual observation</w:t>
            </w:r>
          </w:p>
        </w:tc>
      </w:tr>
      <w:tr>
        <w:tc>
          <w:tcPr>
            <w:tcW w:type="dxa" w:w="2088"/>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Hearsay</w:t>
            </w:r>
          </w:p>
        </w:tc>
        <w:tc>
          <w:tcPr>
            <w:tcW w:type="dxa" w:w="3168"/>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The neighbors said that the road is . . .</w:t>
            </w:r>
          </w:p>
        </w:tc>
        <w:tc>
          <w:tcPr>
            <w:tcW w:type="dxa" w:w="2376"/>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qālū (قالوا)</w:t>
            </w:r>
          </w:p>
        </w:tc>
        <w:tc>
          <w:tcPr>
            <w:tcW w:type="dxa" w:w="2880"/>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Reportative or hearsay evidence</w:t>
            </w:r>
          </w:p>
        </w:tc>
      </w:tr>
      <w:tr>
        <w:tc>
          <w:tcPr>
            <w:tcW w:type="dxa" w:w="2088"/>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Inference</w:t>
            </w:r>
          </w:p>
        </w:tc>
        <w:tc>
          <w:tcPr>
            <w:tcW w:type="dxa" w:w="3168"/>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The light is off, so it seems that . . .</w:t>
            </w:r>
          </w:p>
        </w:tc>
        <w:tc>
          <w:tcPr>
            <w:tcW w:type="dxa" w:w="2376"/>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yabdū anna (يبدو أنّ)</w:t>
            </w:r>
          </w:p>
        </w:tc>
        <w:tc>
          <w:tcPr>
            <w:tcW w:type="dxa" w:w="2880"/>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Inference from observable clue</w:t>
            </w:r>
          </w:p>
        </w:tc>
      </w:tr>
      <w:tr>
        <w:tc>
          <w:tcPr>
            <w:tcW w:type="dxa" w:w="2088"/>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Probability</w:t>
            </w:r>
          </w:p>
        </w:tc>
        <w:tc>
          <w:tcPr>
            <w:tcW w:type="dxa" w:w="3168"/>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The clouds are dark; it might . . .</w:t>
            </w:r>
          </w:p>
        </w:tc>
        <w:tc>
          <w:tcPr>
            <w:tcW w:type="dxa" w:w="2376"/>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rubbamā (ربّما)</w:t>
            </w:r>
          </w:p>
        </w:tc>
        <w:tc>
          <w:tcPr>
            <w:tcW w:type="dxa" w:w="2880"/>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Probabilistic or uncertain claim</w:t>
            </w:r>
          </w:p>
        </w:tc>
      </w:tr>
    </w:tbl>
    <w:p>
      <w:pPr>
        <w:keepNext w:val="0"/>
        <w:spacing w:line="360" w:lineRule="auto" w:after="0" w:before="0"/>
      </w:pPr>
      <w:r>
        <w:rPr>
          <w:rFonts w:ascii="Times New Roman" w:hAnsi="Times New Roman" w:cs="Times New Roman"/>
          <w:b w:val="0"/>
          <w:i/>
          <w:color w:val="000000"/>
          <w:sz w:val="22"/>
        </w:rPr>
        <w:t xml:space="preserve">Note. </w:t>
      </w:r>
      <w:r>
        <w:rPr>
          <w:rFonts w:ascii="Times New Roman" w:hAnsi="Times New Roman" w:cs="Times New Roman"/>
          <w:b w:val="0"/>
          <w:i w:val="0"/>
          <w:color w:val="000000"/>
          <w:sz w:val="22"/>
        </w:rPr>
        <w:t>Responses should be evaluated for whether the evidential marker matches the information source and certainty level.</w:t>
      </w:r>
    </w:p>
    <w:p>
      <w:pPr>
        <w:keepNext w:val="0"/>
        <w:spacing w:line="360" w:lineRule="auto" w:after="0" w:before="0"/>
      </w:pPr>
    </w:p>
    <w:p>
      <w:pPr>
        <w:keepNext/>
        <w:spacing w:line="360" w:lineRule="auto" w:after="0" w:before="0"/>
        <w:jc w:val="center"/>
      </w:pPr>
      <w:r>
        <w:rPr>
          <w:rFonts w:ascii="Times New Roman" w:hAnsi="Times New Roman" w:cs="Times New Roman"/>
          <w:b/>
          <w:i w:val="0"/>
          <w:color w:val="000000"/>
          <w:sz w:val="22"/>
        </w:rPr>
        <w:t>Instrument 3: Reading-Retelling Task</w:t>
      </w:r>
    </w:p>
    <w:p>
      <w:pPr>
        <w:keepNext w:val="0"/>
        <w:spacing w:line="360" w:lineRule="auto" w:after="0" w:before="0"/>
      </w:pPr>
      <w:r>
        <w:rPr>
          <w:rFonts w:ascii="Times New Roman" w:hAnsi="Times New Roman" w:cs="Times New Roman"/>
          <w:b w:val="0"/>
          <w:i w:val="0"/>
          <w:color w:val="000000"/>
          <w:sz w:val="22"/>
        </w:rPr>
        <w:t>Instruction to participant: Read the following academic excerpt. Summarize it in three sentences. Do not include your own opinion.</w:t>
      </w:r>
    </w:p>
    <w:p>
      <w:pPr>
        <w:keepNext w:val="0"/>
        <w:spacing w:line="360" w:lineRule="auto" w:after="0" w:before="0"/>
      </w:pPr>
      <w:r>
        <w:rPr>
          <w:rFonts w:ascii="Times New Roman" w:hAnsi="Times New Roman" w:cs="Times New Roman"/>
          <w:b/>
          <w:i w:val="0"/>
          <w:color w:val="000000"/>
          <w:sz w:val="22"/>
        </w:rPr>
        <w:t xml:space="preserve">Text: </w:t>
      </w:r>
      <w:r>
        <w:rPr>
          <w:rFonts w:ascii="Times New Roman" w:hAnsi="Times New Roman" w:cs="Times New Roman"/>
          <w:b w:val="0"/>
          <w:i w:val="0"/>
          <w:color w:val="000000"/>
          <w:sz w:val="22"/>
        </w:rPr>
        <w:t>Arabic linguistics research confirms that root-and-pattern morphology is a key challenge for L2 learners. However, consistent exposure reduces error rates significantly.</w:t>
      </w:r>
    </w:p>
    <w:p>
      <w:pPr>
        <w:keepNext w:val="0"/>
        <w:spacing w:line="360" w:lineRule="auto" w:after="0" w:before="0"/>
      </w:pPr>
      <w:r>
        <w:rPr>
          <w:rFonts w:ascii="Times New Roman" w:hAnsi="Times New Roman" w:cs="Times New Roman"/>
          <w:b/>
          <w:i w:val="0"/>
          <w:color w:val="000000"/>
          <w:sz w:val="22"/>
        </w:rPr>
        <w:t xml:space="preserve">Target response feature: </w:t>
      </w:r>
      <w:r>
        <w:rPr>
          <w:rFonts w:ascii="Times New Roman" w:hAnsi="Times New Roman" w:cs="Times New Roman"/>
          <w:b w:val="0"/>
          <w:i w:val="0"/>
          <w:color w:val="000000"/>
          <w:sz w:val="22"/>
        </w:rPr>
        <w:t>The summary should mark textual source responsibility through expressions such as bi-ḥasab al-naṣṣ (بحسب النصّ) or yadhkur al-kātib (يذكر الكاتب), rather than presenting the text’s claims as the learner’s personal opinion.</w:t>
      </w:r>
    </w:p>
    <w:p>
      <w:pPr>
        <w:keepNext w:val="0"/>
        <w:spacing w:line="360" w:lineRule="auto" w:after="0" w:before="0"/>
      </w:pPr>
    </w:p>
    <w:p>
      <w:pPr>
        <w:keepNext/>
        <w:spacing w:line="360" w:lineRule="auto" w:after="0" w:before="0"/>
        <w:jc w:val="center"/>
      </w:pPr>
      <w:r>
        <w:rPr>
          <w:rFonts w:ascii="Times New Roman" w:hAnsi="Times New Roman" w:cs="Times New Roman"/>
          <w:b/>
          <w:i w:val="0"/>
          <w:color w:val="000000"/>
          <w:sz w:val="22"/>
        </w:rPr>
        <w:t>Instrument 4: Academic Opinion Paragraph</w:t>
      </w:r>
    </w:p>
    <w:p>
      <w:pPr>
        <w:keepNext w:val="0"/>
        <w:spacing w:line="360" w:lineRule="auto" w:after="0" w:before="0"/>
      </w:pPr>
      <w:r>
        <w:rPr>
          <w:rFonts w:ascii="Times New Roman" w:hAnsi="Times New Roman" w:cs="Times New Roman"/>
          <w:b w:val="0"/>
          <w:i w:val="0"/>
          <w:color w:val="000000"/>
          <w:sz w:val="22"/>
        </w:rPr>
        <w:t>Instruction to participant: Write approximately 100 words on the following topic.</w:t>
      </w:r>
    </w:p>
    <w:p>
      <w:pPr>
        <w:keepNext w:val="0"/>
        <w:spacing w:line="360" w:lineRule="auto" w:after="0" w:before="0"/>
      </w:pPr>
      <w:r>
        <w:rPr>
          <w:rFonts w:ascii="Times New Roman" w:hAnsi="Times New Roman" w:cs="Times New Roman"/>
          <w:b/>
          <w:i w:val="0"/>
          <w:color w:val="000000"/>
          <w:sz w:val="22"/>
        </w:rPr>
        <w:t xml:space="preserve">Prompt: </w:t>
      </w:r>
      <w:r>
        <w:rPr>
          <w:rFonts w:ascii="Times New Roman" w:hAnsi="Times New Roman" w:cs="Times New Roman"/>
          <w:b w:val="0"/>
          <w:i w:val="0"/>
          <w:color w:val="000000"/>
          <w:sz w:val="22"/>
        </w:rPr>
        <w:t>Is technology beneficial or harmful to the Arabic language? Use evidence for your conclusion.</w:t>
      </w:r>
    </w:p>
    <w:p>
      <w:pPr>
        <w:keepNext w:val="0"/>
        <w:spacing w:line="360" w:lineRule="auto" w:after="0" w:before="0"/>
      </w:pPr>
      <w:r>
        <w:rPr>
          <w:rFonts w:ascii="Times New Roman" w:hAnsi="Times New Roman" w:cs="Times New Roman"/>
          <w:b/>
          <w:i w:val="0"/>
          <w:color w:val="000000"/>
          <w:sz w:val="22"/>
        </w:rPr>
        <w:t xml:space="preserve">Target response feature: </w:t>
      </w:r>
      <w:r>
        <w:rPr>
          <w:rFonts w:ascii="Times New Roman" w:hAnsi="Times New Roman" w:cs="Times New Roman"/>
          <w:b w:val="0"/>
          <w:i w:val="0"/>
          <w:color w:val="000000"/>
          <w:sz w:val="22"/>
        </w:rPr>
        <w:t>The paragraph should move from personal stance to evidence-based reasoning, for example from fī raʾyī (في رأيي) to tushīru al-natāʾij (تشير النتائج) and then to a conclusion marker such as li-dhālika (لذلك).</w:t>
      </w:r>
    </w:p>
    <w:p>
      <w:pPr>
        <w:keepNext w:val="0"/>
        <w:spacing w:line="360" w:lineRule="auto" w:after="0" w:before="0"/>
      </w:pPr>
    </w:p>
    <w:p>
      <w:pPr>
        <w:keepNext/>
        <w:spacing w:line="360" w:lineRule="auto" w:after="0" w:before="0"/>
        <w:jc w:val="center"/>
      </w:pPr>
      <w:r>
        <w:rPr>
          <w:rFonts w:ascii="Times New Roman" w:hAnsi="Times New Roman" w:cs="Times New Roman"/>
          <w:b/>
          <w:i w:val="0"/>
          <w:color w:val="000000"/>
          <w:sz w:val="22"/>
        </w:rPr>
        <w:t>Instrument 5: Oral Interview Protocol</w:t>
      </w:r>
    </w:p>
    <w:p>
      <w:pPr>
        <w:keepNext w:val="0"/>
        <w:spacing w:line="360" w:lineRule="auto" w:after="0" w:before="0"/>
      </w:pPr>
      <w:r>
        <w:rPr>
          <w:rFonts w:ascii="Times New Roman" w:hAnsi="Times New Roman" w:cs="Times New Roman"/>
          <w:b w:val="0"/>
          <w:i w:val="0"/>
          <w:color w:val="000000"/>
          <w:sz w:val="22"/>
        </w:rPr>
        <w:t>Instruction to interviewer: Ask both prompts orally. Record whether the learner adjusts register across personal and formal contexts.</w:t>
      </w:r>
    </w:p>
    <w:p>
      <w:pPr>
        <w:keepNext/>
        <w:spacing w:line="360" w:lineRule="auto" w:after="0" w:before="0"/>
      </w:pPr>
      <w:r>
        <w:rPr>
          <w:rFonts w:ascii="Times New Roman" w:hAnsi="Times New Roman" w:cs="Times New Roman"/>
          <w:b/>
          <w:i w:val="0"/>
          <w:color w:val="000000"/>
          <w:sz w:val="22"/>
        </w:rPr>
        <w:t>Table 4</w:t>
      </w:r>
    </w:p>
    <w:p>
      <w:pPr>
        <w:keepNext/>
        <w:spacing w:line="360" w:lineRule="auto" w:after="80" w:before="0"/>
      </w:pPr>
      <w:r>
        <w:rPr>
          <w:rFonts w:ascii="Times New Roman" w:hAnsi="Times New Roman" w:cs="Times New Roman"/>
          <w:b w:val="0"/>
          <w:i/>
          <w:color w:val="000000"/>
          <w:sz w:val="22"/>
        </w:rPr>
        <w:t>Oral Interview Contexts and Expected Register Shift</w:t>
      </w:r>
    </w:p>
    <w:tbl>
      <w:tblPr>
        <w:tblStyle w:val="TableGrid"/>
        <w:tblW w:type="auto" w:w="0"/>
        <w:jc w:val="center"/>
        <w:tblLook w:firstColumn="1" w:firstRow="1" w:lastColumn="0" w:lastRow="0" w:noHBand="0" w:noVBand="1" w:val="04A0"/>
      </w:tblPr>
      <w:tblGrid>
        <w:gridCol w:w="3120"/>
        <w:gridCol w:w="3120"/>
        <w:gridCol w:w="3120"/>
      </w:tblGrid>
      <w:tr>
        <w:trPr>
          <w:tblHeader w:val="true"/>
        </w:trPr>
        <w:tc>
          <w:tcPr>
            <w:tcW w:type="dxa" w:w="2448"/>
            <w:shd w:fill="D9EAF7"/>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i w:val="0"/>
                <w:color w:val="000000"/>
                <w:sz w:val="22"/>
              </w:rPr>
              <w:t>Context</w:t>
            </w:r>
          </w:p>
        </w:tc>
        <w:tc>
          <w:tcPr>
            <w:tcW w:type="dxa" w:w="3672"/>
            <w:shd w:fill="D9EAF7"/>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i w:val="0"/>
                <w:color w:val="000000"/>
                <w:sz w:val="22"/>
              </w:rPr>
              <w:t>Prompt</w:t>
            </w:r>
          </w:p>
        </w:tc>
        <w:tc>
          <w:tcPr>
            <w:tcW w:type="dxa" w:w="4464"/>
            <w:shd w:fill="D9EAF7"/>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i w:val="0"/>
                <w:color w:val="000000"/>
                <w:sz w:val="22"/>
              </w:rPr>
              <w:t>Target Register Feature</w:t>
            </w:r>
          </w:p>
        </w:tc>
      </w:tr>
      <w:tr>
        <w:tc>
          <w:tcPr>
            <w:tcW w:type="dxa" w:w="2448"/>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Context A: Informal</w:t>
            </w:r>
          </w:p>
        </w:tc>
        <w:tc>
          <w:tcPr>
            <w:tcW w:type="dxa" w:w="3672"/>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Tell me about your favorite food.</w:t>
            </w:r>
          </w:p>
        </w:tc>
        <w:tc>
          <w:tcPr>
            <w:tcW w:type="dxa" w:w="4464"/>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Personal stance, everyday vocabulary, and informal explanation</w:t>
            </w:r>
          </w:p>
        </w:tc>
      </w:tr>
      <w:tr>
        <w:tc>
          <w:tcPr>
            <w:tcW w:type="dxa" w:w="2448"/>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Context B: Formal</w:t>
            </w:r>
          </w:p>
        </w:tc>
        <w:tc>
          <w:tcPr>
            <w:tcW w:type="dxa" w:w="3672"/>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Explain the importance of education in your country.</w:t>
            </w:r>
          </w:p>
        </w:tc>
        <w:tc>
          <w:tcPr>
            <w:tcW w:type="dxa" w:w="4464"/>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Objective knowledge, formal register, and organized explanation</w:t>
            </w:r>
          </w:p>
        </w:tc>
      </w:tr>
    </w:tbl>
    <w:p>
      <w:pPr>
        <w:keepNext w:val="0"/>
        <w:spacing w:line="360" w:lineRule="auto" w:after="0" w:before="0"/>
      </w:pPr>
      <w:r>
        <w:rPr>
          <w:rFonts w:ascii="Times New Roman" w:hAnsi="Times New Roman" w:cs="Times New Roman"/>
          <w:b w:val="0"/>
          <w:i/>
          <w:color w:val="000000"/>
          <w:sz w:val="22"/>
        </w:rPr>
        <w:t xml:space="preserve">Note. </w:t>
      </w:r>
      <w:r>
        <w:rPr>
          <w:rFonts w:ascii="Times New Roman" w:hAnsi="Times New Roman" w:cs="Times New Roman"/>
          <w:b w:val="0"/>
          <w:i w:val="0"/>
          <w:color w:val="000000"/>
          <w:sz w:val="22"/>
        </w:rPr>
        <w:t>The task targets switching between personal stance and objective knowledge. Scoring should focus on register fit, source recoverability, and certainty calibration.</w:t>
      </w:r>
    </w:p>
    <w:p>
      <w:pPr>
        <w:keepNext w:val="0"/>
        <w:spacing w:line="360" w:lineRule="auto" w:after="0" w:before="0"/>
      </w:pPr>
    </w:p>
    <w:p>
      <w:pPr>
        <w:keepNext/>
        <w:spacing w:line="360" w:lineRule="auto" w:after="0" w:before="0"/>
        <w:jc w:val="center"/>
      </w:pPr>
      <w:r>
        <w:rPr>
          <w:rFonts w:ascii="Times New Roman" w:hAnsi="Times New Roman" w:cs="Times New Roman"/>
          <w:b/>
          <w:i w:val="0"/>
          <w:color w:val="000000"/>
          <w:sz w:val="22"/>
        </w:rPr>
        <w:t>Coordination Index Measurement Tool</w:t>
      </w:r>
    </w:p>
    <w:p>
      <w:pPr>
        <w:keepNext w:val="0"/>
        <w:spacing w:line="360" w:lineRule="auto" w:after="0" w:before="0"/>
      </w:pPr>
      <w:r>
        <w:rPr>
          <w:rFonts w:ascii="Times New Roman" w:hAnsi="Times New Roman" w:cs="Times New Roman"/>
          <w:b w:val="0"/>
          <w:i w:val="0"/>
          <w:color w:val="000000"/>
          <w:sz w:val="22"/>
        </w:rPr>
        <w:t>Each proposition in the learner’s production is graded using four binary checks. A value of 1 indicates that the proposition satisfies the criterion; a value of 0 indicates that it does not.</w:t>
      </w:r>
    </w:p>
    <w:p>
      <w:pPr>
        <w:keepNext/>
        <w:spacing w:line="360" w:lineRule="auto" w:after="0" w:before="0"/>
      </w:pPr>
      <w:r>
        <w:rPr>
          <w:rFonts w:ascii="Times New Roman" w:hAnsi="Times New Roman" w:cs="Times New Roman"/>
          <w:b/>
          <w:i w:val="0"/>
          <w:color w:val="000000"/>
          <w:sz w:val="22"/>
        </w:rPr>
        <w:t>Table 5</w:t>
      </w:r>
    </w:p>
    <w:p>
      <w:pPr>
        <w:keepNext/>
        <w:spacing w:line="360" w:lineRule="auto" w:after="80" w:before="0"/>
      </w:pPr>
      <w:r>
        <w:rPr>
          <w:rFonts w:ascii="Times New Roman" w:hAnsi="Times New Roman" w:cs="Times New Roman"/>
          <w:b w:val="0"/>
          <w:i/>
          <w:color w:val="000000"/>
          <w:sz w:val="22"/>
        </w:rPr>
        <w:t>Binary Checks Used to Compute the Coordination Index</w:t>
      </w:r>
    </w:p>
    <w:tbl>
      <w:tblPr>
        <w:tblStyle w:val="TableGrid"/>
        <w:tblW w:type="auto" w:w="0"/>
        <w:jc w:val="center"/>
        <w:tblLook w:firstColumn="1" w:firstRow="1" w:lastColumn="0" w:lastRow="0" w:noHBand="0" w:noVBand="1" w:val="04A0"/>
      </w:tblPr>
      <w:tblGrid>
        <w:gridCol w:w="3120"/>
        <w:gridCol w:w="3120"/>
        <w:gridCol w:w="3120"/>
      </w:tblGrid>
      <w:tr>
        <w:trPr>
          <w:tblHeader w:val="true"/>
        </w:trPr>
        <w:tc>
          <w:tcPr>
            <w:tcW w:type="dxa" w:w="3096"/>
            <w:shd w:fill="D9EAF7"/>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i w:val="0"/>
                <w:color w:val="000000"/>
                <w:sz w:val="22"/>
              </w:rPr>
              <w:t>Binary Check</w:t>
            </w:r>
          </w:p>
        </w:tc>
        <w:tc>
          <w:tcPr>
            <w:tcW w:type="dxa" w:w="4896"/>
            <w:shd w:fill="D9EAF7"/>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i w:val="0"/>
                <w:color w:val="000000"/>
                <w:sz w:val="22"/>
              </w:rPr>
              <w:t>Scoring Question</w:t>
            </w:r>
          </w:p>
        </w:tc>
        <w:tc>
          <w:tcPr>
            <w:tcW w:type="dxa" w:w="2664"/>
            <w:shd w:fill="D9EAF7"/>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i w:val="0"/>
                <w:color w:val="000000"/>
                <w:sz w:val="22"/>
              </w:rPr>
              <w:t>Coding</w:t>
            </w:r>
          </w:p>
        </w:tc>
      </w:tr>
      <w:tr>
        <w:tc>
          <w:tcPr>
            <w:tcW w:type="dxa" w:w="3096"/>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Strength–Evidence Match</w:t>
            </w:r>
          </w:p>
        </w:tc>
        <w:tc>
          <w:tcPr>
            <w:tcW w:type="dxa" w:w="4896"/>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Does the level of certainty match the evidence provided?</w:t>
            </w:r>
          </w:p>
        </w:tc>
        <w:tc>
          <w:tcPr>
            <w:tcW w:type="dxa" w:w="2664"/>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1 = matched; 0 = not matched</w:t>
            </w:r>
          </w:p>
        </w:tc>
      </w:tr>
      <w:tr>
        <w:tc>
          <w:tcPr>
            <w:tcW w:type="dxa" w:w="3096"/>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Source Recoverability</w:t>
            </w:r>
          </w:p>
        </w:tc>
        <w:tc>
          <w:tcPr>
            <w:tcW w:type="dxa" w:w="4896"/>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Is it clear where the information came from?</w:t>
            </w:r>
          </w:p>
        </w:tc>
        <w:tc>
          <w:tcPr>
            <w:tcW w:type="dxa" w:w="2664"/>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1 = recoverable; 0 = not recoverable</w:t>
            </w:r>
          </w:p>
        </w:tc>
      </w:tr>
      <w:tr>
        <w:tc>
          <w:tcPr>
            <w:tcW w:type="dxa" w:w="3096"/>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Inference–Observation Distinction</w:t>
            </w:r>
          </w:p>
        </w:tc>
        <w:tc>
          <w:tcPr>
            <w:tcW w:type="dxa" w:w="4896"/>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Is a guess clearly marked as a guess?</w:t>
            </w:r>
          </w:p>
        </w:tc>
        <w:tc>
          <w:tcPr>
            <w:tcW w:type="dxa" w:w="2664"/>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1 = clearly marked; 0 = not marked</w:t>
            </w:r>
          </w:p>
        </w:tc>
      </w:tr>
      <w:tr>
        <w:tc>
          <w:tcPr>
            <w:tcW w:type="dxa" w:w="3096"/>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Register Fit</w:t>
            </w:r>
          </w:p>
        </w:tc>
        <w:tc>
          <w:tcPr>
            <w:tcW w:type="dxa" w:w="4896"/>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Is the language appropriate for the task context?</w:t>
            </w:r>
          </w:p>
        </w:tc>
        <w:tc>
          <w:tcPr>
            <w:tcW w:type="dxa" w:w="2664"/>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1 = appropriate; 0 = not appropriate</w:t>
            </w:r>
          </w:p>
        </w:tc>
      </w:tr>
    </w:tbl>
    <w:p>
      <w:pPr>
        <w:keepNext w:val="0"/>
        <w:spacing w:line="360" w:lineRule="auto" w:after="0" w:before="0"/>
      </w:pPr>
      <w:r>
        <w:rPr>
          <w:rFonts w:ascii="Times New Roman" w:hAnsi="Times New Roman" w:cs="Times New Roman"/>
          <w:b w:val="0"/>
          <w:i/>
          <w:color w:val="000000"/>
          <w:sz w:val="22"/>
        </w:rPr>
        <w:t xml:space="preserve">Note. </w:t>
      </w:r>
      <w:r>
        <w:rPr>
          <w:rFonts w:ascii="Times New Roman" w:hAnsi="Times New Roman" w:cs="Times New Roman"/>
          <w:b w:val="0"/>
          <w:i w:val="0"/>
          <w:color w:val="000000"/>
          <w:sz w:val="22"/>
        </w:rPr>
        <w:t>Checks should be applied only when they are relevant to the proposition being assessed.</w:t>
      </w:r>
    </w:p>
    <w:p>
      <w:pPr>
        <w:keepNext w:val="0"/>
        <w:spacing w:line="360" w:lineRule="auto" w:after="0" w:before="0"/>
      </w:pPr>
    </w:p>
    <w:p>
      <w:pPr>
        <w:keepNext/>
        <w:spacing w:line="360" w:lineRule="auto" w:after="0" w:before="0"/>
      </w:pPr>
      <w:r>
        <w:rPr>
          <w:rFonts w:ascii="Times New Roman" w:hAnsi="Times New Roman" w:cs="Times New Roman"/>
          <w:b/>
          <w:i w:val="0"/>
          <w:color w:val="000000"/>
          <w:sz w:val="22"/>
        </w:rPr>
        <w:t>Coordination Index Formula</w:t>
      </w:r>
    </w:p>
    <w:p>
      <w:pPr>
        <w:keepNext w:val="0"/>
        <w:spacing w:line="360" w:lineRule="auto" w:after="0" w:before="0"/>
      </w:pPr>
      <w:r>
        <w:rPr>
          <w:rFonts w:ascii="Times New Roman" w:hAnsi="Times New Roman" w:cs="Times New Roman"/>
          <w:b/>
          <w:i w:val="0"/>
          <w:color w:val="000000"/>
          <w:sz w:val="22"/>
        </w:rPr>
        <w:t xml:space="preserve">CI = </w:t>
      </w:r>
      <w:r>
        <w:rPr>
          <w:rFonts w:ascii="Times New Roman" w:hAnsi="Times New Roman" w:cs="Times New Roman"/>
          <w:b w:val="0"/>
          <w:i w:val="0"/>
          <w:color w:val="000000"/>
          <w:sz w:val="22"/>
        </w:rPr>
        <w:t>Number of checks passed / Total applicable checks</w:t>
      </w:r>
    </w:p>
    <w:p>
      <w:pPr>
        <w:keepNext w:val="0"/>
        <w:spacing w:line="360" w:lineRule="auto" w:after="0" w:before="0"/>
      </w:pPr>
      <w:r>
        <w:rPr>
          <w:rFonts w:ascii="Times New Roman" w:hAnsi="Times New Roman" w:cs="Times New Roman"/>
          <w:b w:val="0"/>
          <w:i w:val="0"/>
          <w:color w:val="000000"/>
          <w:sz w:val="22"/>
        </w:rPr>
        <w:t>The Coordination Index ranges from 0.00 to 1.00. Higher values indicate stronger coordination between evidence, certainty, source marking, inference marking, and register fit.</w:t>
      </w:r>
    </w:p>
    <w:p>
      <w:pPr>
        <w:spacing w:line="360" w:lineRule="auto" w:after="0"/>
      </w:pPr>
      <w:r>
        <w:rPr>
          <w:rFonts w:ascii="Times New Roman" w:hAnsi="Times New Roman" w:cs="Times New Roman"/>
          <w:sz w:val="22"/>
        </w:rPr>
        <w:br w:type="page"/>
      </w:r>
    </w:p>
    <w:p>
      <w:pPr>
        <w:keepNext/>
        <w:spacing w:line="360" w:lineRule="auto" w:after="0" w:before="0"/>
      </w:pPr>
      <w:r>
        <w:rPr>
          <w:rFonts w:ascii="Times New Roman" w:hAnsi="Times New Roman" w:cs="Times New Roman"/>
          <w:b/>
          <w:i w:val="0"/>
          <w:color w:val="000000"/>
          <w:sz w:val="22"/>
        </w:rPr>
        <w:t>Table 6</w:t>
      </w:r>
    </w:p>
    <w:p>
      <w:pPr>
        <w:keepNext/>
        <w:spacing w:line="360" w:lineRule="auto" w:after="80" w:before="0"/>
      </w:pPr>
      <w:r>
        <w:rPr>
          <w:rFonts w:ascii="Times New Roman" w:hAnsi="Times New Roman" w:cs="Times New Roman"/>
          <w:b w:val="0"/>
          <w:i/>
          <w:color w:val="000000"/>
          <w:sz w:val="22"/>
        </w:rPr>
        <w:t>Suggested Interpretation of Coordination Index Scores</w:t>
      </w:r>
    </w:p>
    <w:tbl>
      <w:tblPr>
        <w:tblStyle w:val="TableGrid"/>
        <w:tblW w:type="auto" w:w="0"/>
        <w:jc w:val="center"/>
        <w:tblLook w:firstColumn="1" w:firstRow="1" w:lastColumn="0" w:lastRow="0" w:noHBand="0" w:noVBand="1" w:val="04A0"/>
      </w:tblPr>
      <w:tblGrid>
        <w:gridCol w:w="3120"/>
        <w:gridCol w:w="3120"/>
        <w:gridCol w:w="3120"/>
      </w:tblGrid>
      <w:tr>
        <w:trPr>
          <w:tblHeader w:val="true"/>
        </w:trPr>
        <w:tc>
          <w:tcPr>
            <w:tcW w:type="dxa" w:w="1728"/>
            <w:shd w:fill="D9EAF7"/>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i w:val="0"/>
                <w:color w:val="000000"/>
                <w:sz w:val="22"/>
              </w:rPr>
              <w:t>CI Range</w:t>
            </w:r>
          </w:p>
        </w:tc>
        <w:tc>
          <w:tcPr>
            <w:tcW w:type="dxa" w:w="2592"/>
            <w:shd w:fill="D9EAF7"/>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i w:val="0"/>
                <w:color w:val="000000"/>
                <w:sz w:val="22"/>
              </w:rPr>
              <w:t>Interpretation</w:t>
            </w:r>
          </w:p>
        </w:tc>
        <w:tc>
          <w:tcPr>
            <w:tcW w:type="dxa" w:w="6336"/>
            <w:shd w:fill="D9EAF7"/>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i w:val="0"/>
                <w:color w:val="000000"/>
                <w:sz w:val="22"/>
              </w:rPr>
              <w:t>Operational Meaning</w:t>
            </w:r>
          </w:p>
        </w:tc>
      </w:tr>
      <w:tr>
        <w:tc>
          <w:tcPr>
            <w:tcW w:type="dxa" w:w="1728"/>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0.00–0.24</w:t>
            </w:r>
          </w:p>
        </w:tc>
        <w:tc>
          <w:tcPr>
            <w:tcW w:type="dxa" w:w="2592"/>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Very weak coordination</w:t>
            </w:r>
          </w:p>
        </w:tc>
        <w:tc>
          <w:tcPr>
            <w:tcW w:type="dxa" w:w="6336"/>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Evidence source, certainty level, inference marking, and register fit are largely absent or mismatched.</w:t>
            </w:r>
          </w:p>
        </w:tc>
      </w:tr>
      <w:tr>
        <w:tc>
          <w:tcPr>
            <w:tcW w:type="dxa" w:w="1728"/>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0.25–0.49</w:t>
            </w:r>
          </w:p>
        </w:tc>
        <w:tc>
          <w:tcPr>
            <w:tcW w:type="dxa" w:w="2592"/>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Weak coordination</w:t>
            </w:r>
          </w:p>
        </w:tc>
        <w:tc>
          <w:tcPr>
            <w:tcW w:type="dxa" w:w="6336"/>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Some markers appear, but claims remain inconsistently linked to evidence or task context.</w:t>
            </w:r>
          </w:p>
        </w:tc>
      </w:tr>
      <w:tr>
        <w:tc>
          <w:tcPr>
            <w:tcW w:type="dxa" w:w="1728"/>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0.50–0.74</w:t>
            </w:r>
          </w:p>
        </w:tc>
        <w:tc>
          <w:tcPr>
            <w:tcW w:type="dxa" w:w="2592"/>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Moderate coordination</w:t>
            </w:r>
          </w:p>
        </w:tc>
        <w:tc>
          <w:tcPr>
            <w:tcW w:type="dxa" w:w="6336"/>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Most propositions show partial control of source, certainty, and register demands.</w:t>
            </w:r>
          </w:p>
        </w:tc>
      </w:tr>
      <w:tr>
        <w:tc>
          <w:tcPr>
            <w:tcW w:type="dxa" w:w="1728"/>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0.75–1.00</w:t>
            </w:r>
          </w:p>
        </w:tc>
        <w:tc>
          <w:tcPr>
            <w:tcW w:type="dxa" w:w="2592"/>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Strong coordination</w:t>
            </w:r>
          </w:p>
        </w:tc>
        <w:tc>
          <w:tcPr>
            <w:tcW w:type="dxa" w:w="6336"/>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Claims are consistently marked, calibrated, and appropriate to genre and register.</w:t>
            </w:r>
          </w:p>
        </w:tc>
      </w:tr>
    </w:tbl>
    <w:p>
      <w:pPr>
        <w:keepNext w:val="0"/>
        <w:spacing w:line="360" w:lineRule="auto" w:after="0" w:before="0"/>
      </w:pPr>
      <w:r>
        <w:rPr>
          <w:rFonts w:ascii="Times New Roman" w:hAnsi="Times New Roman" w:cs="Times New Roman"/>
          <w:b w:val="0"/>
          <w:i/>
          <w:color w:val="000000"/>
          <w:sz w:val="22"/>
        </w:rPr>
        <w:t xml:space="preserve">Note. </w:t>
      </w:r>
      <w:r>
        <w:rPr>
          <w:rFonts w:ascii="Times New Roman" w:hAnsi="Times New Roman" w:cs="Times New Roman"/>
          <w:b w:val="0"/>
          <w:i w:val="0"/>
          <w:color w:val="000000"/>
          <w:sz w:val="22"/>
        </w:rPr>
        <w:t>These bands are descriptive and may be adjusted after pilot testing or reliability calibration.</w:t>
      </w:r>
    </w:p>
    <w:p>
      <w:pPr>
        <w:keepNext w:val="0"/>
        <w:spacing w:line="360" w:lineRule="auto" w:after="0" w:before="0"/>
      </w:pPr>
    </w:p>
    <w:p>
      <w:pPr>
        <w:keepNext/>
        <w:spacing w:line="360" w:lineRule="auto" w:after="0" w:before="0"/>
        <w:jc w:val="center"/>
      </w:pPr>
      <w:r>
        <w:rPr>
          <w:rFonts w:ascii="Times New Roman" w:hAnsi="Times New Roman" w:cs="Times New Roman"/>
          <w:b/>
          <w:i w:val="0"/>
          <w:color w:val="000000"/>
          <w:sz w:val="22"/>
        </w:rPr>
        <w:t>Scoring Sheet Template</w:t>
      </w:r>
    </w:p>
    <w:p>
      <w:pPr>
        <w:keepNext/>
        <w:spacing w:line="360" w:lineRule="auto" w:after="0" w:before="0"/>
      </w:pPr>
      <w:r>
        <w:rPr>
          <w:rFonts w:ascii="Times New Roman" w:hAnsi="Times New Roman" w:cs="Times New Roman"/>
          <w:b/>
          <w:i w:val="0"/>
          <w:color w:val="000000"/>
          <w:sz w:val="22"/>
        </w:rPr>
        <w:t>Table 7</w:t>
      </w:r>
    </w:p>
    <w:p>
      <w:pPr>
        <w:keepNext/>
        <w:spacing w:line="360" w:lineRule="auto" w:after="80" w:before="0"/>
      </w:pPr>
      <w:r>
        <w:rPr>
          <w:rFonts w:ascii="Times New Roman" w:hAnsi="Times New Roman" w:cs="Times New Roman"/>
          <w:b w:val="0"/>
          <w:i/>
          <w:color w:val="000000"/>
          <w:sz w:val="22"/>
        </w:rPr>
        <w:t>Coordination Index Scoring Sheet</w:t>
      </w:r>
    </w:p>
    <w:tbl>
      <w:tblPr>
        <w:tblStyle w:val="TableGrid"/>
        <w:tblW w:type="auto" w:w="0"/>
        <w:jc w:val="center"/>
        <w:tblLook w:firstColumn="1" w:firstRow="1" w:lastColumn="0" w:lastRow="0" w:noHBand="0" w:noVBand="1" w:val="04A0"/>
      </w:tblPr>
      <w:tblGrid>
        <w:gridCol w:w="4680"/>
        <w:gridCol w:w="4680"/>
      </w:tblGrid>
      <w:tr>
        <w:trPr>
          <w:tblHeader w:val="true"/>
        </w:trPr>
        <w:tc>
          <w:tcPr>
            <w:tcW w:type="dxa" w:w="4320"/>
            <w:shd w:fill="D9EAF7"/>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i w:val="0"/>
                <w:color w:val="000000"/>
                <w:sz w:val="22"/>
              </w:rPr>
              <w:t>Field / Criterion</w:t>
            </w:r>
          </w:p>
        </w:tc>
        <w:tc>
          <w:tcPr>
            <w:tcW w:type="dxa" w:w="6048"/>
            <w:shd w:fill="D9EAF7"/>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i w:val="0"/>
                <w:color w:val="000000"/>
                <w:sz w:val="22"/>
              </w:rPr>
              <w:t>Entry / Coding</w:t>
            </w:r>
          </w:p>
        </w:tc>
      </w:tr>
      <w:tr>
        <w:tc>
          <w:tcPr>
            <w:tcW w:type="dxa" w:w="4320"/>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Learner ID</w:t>
            </w:r>
          </w:p>
        </w:tc>
        <w:tc>
          <w:tcPr>
            <w:tcW w:type="dxa" w:w="6048"/>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______________________________</w:t>
            </w:r>
          </w:p>
        </w:tc>
      </w:tr>
      <w:tr>
        <w:tc>
          <w:tcPr>
            <w:tcW w:type="dxa" w:w="4320"/>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Task</w:t>
            </w:r>
          </w:p>
        </w:tc>
        <w:tc>
          <w:tcPr>
            <w:tcW w:type="dxa" w:w="6048"/>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______________________________</w:t>
            </w:r>
          </w:p>
        </w:tc>
      </w:tr>
      <w:tr>
        <w:tc>
          <w:tcPr>
            <w:tcW w:type="dxa" w:w="4320"/>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Proposition No.</w:t>
            </w:r>
          </w:p>
        </w:tc>
        <w:tc>
          <w:tcPr>
            <w:tcW w:type="dxa" w:w="6048"/>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______________________________</w:t>
            </w:r>
          </w:p>
        </w:tc>
      </w:tr>
      <w:tr>
        <w:tc>
          <w:tcPr>
            <w:tcW w:type="dxa" w:w="4320"/>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Strength–Evidence Match</w:t>
            </w:r>
          </w:p>
        </w:tc>
        <w:tc>
          <w:tcPr>
            <w:tcW w:type="dxa" w:w="6048"/>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0 / 1 / N/A</w:t>
            </w:r>
          </w:p>
        </w:tc>
      </w:tr>
      <w:tr>
        <w:tc>
          <w:tcPr>
            <w:tcW w:type="dxa" w:w="4320"/>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Source Recoverability</w:t>
            </w:r>
          </w:p>
        </w:tc>
        <w:tc>
          <w:tcPr>
            <w:tcW w:type="dxa" w:w="6048"/>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0 / 1 / N/A</w:t>
            </w:r>
          </w:p>
        </w:tc>
      </w:tr>
      <w:tr>
        <w:tc>
          <w:tcPr>
            <w:tcW w:type="dxa" w:w="4320"/>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Inference–Observation Distinction</w:t>
            </w:r>
          </w:p>
        </w:tc>
        <w:tc>
          <w:tcPr>
            <w:tcW w:type="dxa" w:w="6048"/>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0 / 1 / N/A</w:t>
            </w:r>
          </w:p>
        </w:tc>
      </w:tr>
      <w:tr>
        <w:tc>
          <w:tcPr>
            <w:tcW w:type="dxa" w:w="4320"/>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Register Fit</w:t>
            </w:r>
          </w:p>
        </w:tc>
        <w:tc>
          <w:tcPr>
            <w:tcW w:type="dxa" w:w="6048"/>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0 / 1 / N/A</w:t>
            </w:r>
          </w:p>
        </w:tc>
      </w:tr>
      <w:tr>
        <w:tc>
          <w:tcPr>
            <w:tcW w:type="dxa" w:w="4320"/>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Coordination Index</w:t>
            </w:r>
          </w:p>
        </w:tc>
        <w:tc>
          <w:tcPr>
            <w:tcW w:type="dxa" w:w="6048"/>
            <w:vAlign w:val="top"/>
          </w:tcPr>
          <w:p>
            <w:pPr>
              <w:spacing w:line="360" w:lineRule="auto" w:after="0" w:before="0"/>
            </w:pPr>
            <w:r>
              <w:rPr>
                <w:rFonts w:ascii="Times New Roman" w:hAnsi="Times New Roman" w:cs="Times New Roman"/>
                <w:color w:val="000000"/>
                <w:sz w:val="22"/>
              </w:rPr>
            </w:r>
            <w:r>
              <w:rPr>
                <w:rFonts w:ascii="Times New Roman" w:hAnsi="Times New Roman" w:cs="Times New Roman"/>
                <w:b w:val="0"/>
                <w:i w:val="0"/>
                <w:color w:val="000000"/>
                <w:sz w:val="22"/>
              </w:rPr>
              <w:t>______________________________</w:t>
            </w:r>
          </w:p>
        </w:tc>
      </w:tr>
    </w:tbl>
    <w:p>
      <w:pPr>
        <w:keepNext w:val="0"/>
        <w:spacing w:line="360" w:lineRule="auto" w:after="0" w:before="0"/>
      </w:pPr>
      <w:r>
        <w:rPr>
          <w:rFonts w:ascii="Times New Roman" w:hAnsi="Times New Roman" w:cs="Times New Roman"/>
          <w:b w:val="0"/>
          <w:i/>
          <w:color w:val="000000"/>
          <w:sz w:val="22"/>
        </w:rPr>
        <w:t xml:space="preserve">Note. </w:t>
      </w:r>
      <w:r>
        <w:rPr>
          <w:rFonts w:ascii="Times New Roman" w:hAnsi="Times New Roman" w:cs="Times New Roman"/>
          <w:b w:val="0"/>
          <w:i w:val="0"/>
          <w:color w:val="000000"/>
          <w:sz w:val="22"/>
        </w:rPr>
        <w:t>Use N/A only when a check is not applicable to the proposition. The denominator should include only applicable checks.</w:t>
      </w:r>
    </w:p>
    <w:p>
      <w:pPr>
        <w:keepNext w:val="0"/>
        <w:spacing w:line="360" w:lineRule="auto" w:after="0" w:before="0"/>
      </w:pPr>
    </w:p>
    <w:p>
      <w:pPr>
        <w:keepNext/>
        <w:spacing w:line="360" w:lineRule="auto" w:after="0" w:before="0"/>
        <w:jc w:val="center"/>
      </w:pPr>
      <w:r>
        <w:rPr>
          <w:rFonts w:ascii="Times New Roman" w:hAnsi="Times New Roman" w:cs="Times New Roman"/>
          <w:b/>
          <w:i w:val="0"/>
          <w:color w:val="000000"/>
          <w:sz w:val="22"/>
        </w:rPr>
        <w:t>Administration and Scoring Notes</w:t>
      </w:r>
    </w:p>
    <w:p>
      <w:pPr>
        <w:spacing w:line="360" w:lineRule="auto" w:after="0"/>
        <w:ind w:left="360" w:hanging="360"/>
      </w:pPr>
      <w:r>
        <w:rPr>
          <w:rFonts w:ascii="Times New Roman" w:hAnsi="Times New Roman" w:cs="Times New Roman"/>
          <w:color w:val="000000"/>
          <w:sz w:val="22"/>
        </w:rPr>
        <w:t xml:space="preserve">• </w:t>
      </w:r>
      <w:r>
        <w:rPr>
          <w:rFonts w:ascii="Times New Roman" w:hAnsi="Times New Roman" w:cs="Times New Roman"/>
          <w:color w:val="000000"/>
          <w:sz w:val="22"/>
        </w:rPr>
        <w:t>Administer the background questionnaire before the written and oral production tasks.</w:t>
      </w:r>
    </w:p>
    <w:p>
      <w:pPr>
        <w:spacing w:line="360" w:lineRule="auto" w:after="0"/>
        <w:ind w:left="360" w:hanging="360"/>
      </w:pPr>
      <w:r>
        <w:rPr>
          <w:rFonts w:ascii="Times New Roman" w:hAnsi="Times New Roman" w:cs="Times New Roman"/>
          <w:color w:val="000000"/>
          <w:sz w:val="22"/>
        </w:rPr>
        <w:t xml:space="preserve">• </w:t>
      </w:r>
      <w:r>
        <w:rPr>
          <w:rFonts w:ascii="Times New Roman" w:hAnsi="Times New Roman" w:cs="Times New Roman"/>
          <w:color w:val="000000"/>
          <w:sz w:val="22"/>
        </w:rPr>
        <w:t>Preserve the original learner wording during transcription and coding.</w:t>
      </w:r>
    </w:p>
    <w:p>
      <w:pPr>
        <w:spacing w:line="360" w:lineRule="auto" w:after="0"/>
        <w:ind w:left="360" w:hanging="360"/>
      </w:pPr>
      <w:r>
        <w:rPr>
          <w:rFonts w:ascii="Times New Roman" w:hAnsi="Times New Roman" w:cs="Times New Roman"/>
          <w:color w:val="000000"/>
          <w:sz w:val="22"/>
        </w:rPr>
        <w:t xml:space="preserve">• </w:t>
      </w:r>
      <w:r>
        <w:rPr>
          <w:rFonts w:ascii="Times New Roman" w:hAnsi="Times New Roman" w:cs="Times New Roman"/>
          <w:color w:val="000000"/>
          <w:sz w:val="22"/>
        </w:rPr>
        <w:t>Code each proposition independently before computing the learner-level Coordination Index.</w:t>
      </w:r>
    </w:p>
    <w:p>
      <w:pPr>
        <w:spacing w:line="360" w:lineRule="auto" w:after="0"/>
        <w:ind w:left="360" w:hanging="360"/>
      </w:pPr>
      <w:r>
        <w:rPr>
          <w:rFonts w:ascii="Times New Roman" w:hAnsi="Times New Roman" w:cs="Times New Roman"/>
          <w:color w:val="000000"/>
          <w:sz w:val="22"/>
        </w:rPr>
        <w:t xml:space="preserve">• </w:t>
      </w:r>
      <w:r>
        <w:rPr>
          <w:rFonts w:ascii="Times New Roman" w:hAnsi="Times New Roman" w:cs="Times New Roman"/>
          <w:color w:val="000000"/>
          <w:sz w:val="22"/>
        </w:rPr>
        <w:t>When possible, use two independent coders and resolve disagreement through discussion or adjudication.</w:t>
      </w:r>
    </w:p>
    <w:p>
      <w:pPr>
        <w:spacing w:line="360" w:lineRule="auto" w:after="0"/>
        <w:ind w:left="360" w:hanging="360"/>
      </w:pPr>
      <w:r>
        <w:rPr>
          <w:rFonts w:ascii="Times New Roman" w:hAnsi="Times New Roman" w:cs="Times New Roman"/>
          <w:color w:val="000000"/>
          <w:sz w:val="22"/>
        </w:rPr>
        <w:t xml:space="preserve">• </w:t>
      </w:r>
      <w:r>
        <w:rPr>
          <w:rFonts w:ascii="Times New Roman" w:hAnsi="Times New Roman" w:cs="Times New Roman"/>
          <w:color w:val="000000"/>
          <w:sz w:val="22"/>
        </w:rPr>
        <w:t>Report the sampling frame separately from learner responses to maintain anonymization.</w:t>
      </w:r>
    </w:p>
    <w:sectPr w:rsidR="00FC693F" w:rsidRPr="0006063C" w:rsidSect="00034616">
      <w:head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cs="Times New Roman"/>
        <w:color w:val="000000"/>
        <w:sz w:val="22"/>
      </w:rPr>
      <w:fldChar w:fldCharType="begin"/>
      <w:instrText xml:space="preserve">PAGE</w:instrText>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0"/>
    </w:pPr>
    <w:rPr>
      <w:rFonts w:ascii="Times New Roman" w:hAnsi="Times New Roman" w:cs="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360" w:lineRule="auto"/>
      <w:outlineLvl w:val="0"/>
    </w:pPr>
    <w:rPr>
      <w:rFonts w:asciiTheme="majorHAnsi" w:eastAsiaTheme="majorEastAsia" w:hAnsiTheme="majorHAnsi" w:cstheme="majorBidi" w:ascii="Times New Roman" w:hAnsi="Times New Roman" w:cs="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0" w:after="0" w:line="360" w:lineRule="auto"/>
      <w:outlineLvl w:val="1"/>
    </w:pPr>
    <w:rPr>
      <w:rFonts w:asciiTheme="majorHAnsi" w:eastAsiaTheme="majorEastAsia" w:hAnsiTheme="majorHAnsi" w:cstheme="majorBidi" w:ascii="Times New Roman" w:hAnsi="Times New Roman" w:cs="Times New Roman"/>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0" w:after="0" w:line="360" w:lineRule="auto"/>
      <w:outlineLvl w:val="2"/>
    </w:pPr>
    <w:rPr>
      <w:rFonts w:asciiTheme="majorHAnsi" w:eastAsiaTheme="majorEastAsia" w:hAnsiTheme="majorHAnsi" w:cstheme="majorBidi" w:ascii="Times New Roman" w:hAnsi="Times New Roman" w:cs="Times New Roman"/>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0" w:line="360" w:lineRule="auto" w:before="0"/>
      <w:contextualSpacing/>
    </w:pPr>
    <w:rPr>
      <w:rFonts w:asciiTheme="majorHAnsi" w:eastAsiaTheme="majorEastAsia" w:hAnsiTheme="majorHAnsi" w:cstheme="majorBidi" w:ascii="Times New Roman" w:hAnsi="Times New Roman" w:cs="Times New Roman"/>
      <w:b/>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