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2763" w14:textId="1AD5425D" w:rsidR="002E4069" w:rsidRDefault="002E4069">
      <w:pPr>
        <w:rPr>
          <w:rFonts w:hint="eastAsia"/>
        </w:rPr>
      </w:pPr>
      <w:r>
        <w:rPr>
          <w:noProof/>
        </w:rPr>
        <w:drawing>
          <wp:inline distT="0" distB="0" distL="0" distR="0" wp14:anchorId="62F9C895" wp14:editId="2BF8CCA5">
            <wp:extent cx="4860000" cy="6160421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616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FAE59" w14:textId="12C015D4" w:rsidR="002E4069" w:rsidRPr="007627F4" w:rsidRDefault="00320DA5" w:rsidP="007627F4">
      <w:pPr>
        <w:widowControl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20DA5">
        <w:rPr>
          <w:rFonts w:ascii="Arial" w:hAnsi="Arial" w:cs="Arial"/>
          <w:b/>
          <w:bCs/>
          <w:sz w:val="18"/>
          <w:szCs w:val="18"/>
        </w:rPr>
        <w:t xml:space="preserve">Supplementary Figure S1. Feature selection, data integration, and dimensionality assessment of retinal single-cell transcriptomic data. </w:t>
      </w:r>
      <w:r w:rsidRPr="00320DA5">
        <w:rPr>
          <w:rFonts w:ascii="Arial" w:hAnsi="Arial" w:cs="Arial"/>
          <w:sz w:val="18"/>
          <w:szCs w:val="18"/>
        </w:rPr>
        <w:t>(A) Heatmaps showing representative genes associated with the major principal components. (B) Top genes contributing to PC1 and PC2. (C) Optimization of single-cell data integration across iterative integration steps. (D) Elbow plot showing the standard deviations of the first 20 principal components.</w:t>
      </w:r>
      <w:r w:rsidR="002E4069" w:rsidRPr="007627F4">
        <w:rPr>
          <w:rFonts w:ascii="Arial" w:hAnsi="Arial" w:cs="Arial"/>
          <w:sz w:val="18"/>
          <w:szCs w:val="18"/>
        </w:rPr>
        <w:br w:type="page"/>
      </w:r>
    </w:p>
    <w:p w14:paraId="132202E2" w14:textId="5FE264FD" w:rsidR="002148F9" w:rsidRDefault="00090B17" w:rsidP="00D20CB2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96C32FC" wp14:editId="0DCA1454">
            <wp:extent cx="4860000" cy="6449034"/>
            <wp:effectExtent l="0" t="0" r="0" b="952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/>
                  </pic:nvPicPr>
                  <pic:blipFill>
                    <a:blip r:embed="rId7"/>
                    <a:srcRect t="80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644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3BCA7" w14:textId="5706C923" w:rsidR="00D20CB2" w:rsidRPr="00D20CB2" w:rsidRDefault="00D20CB2" w:rsidP="00D20CB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20CB2">
        <w:rPr>
          <w:rFonts w:ascii="Arial" w:hAnsi="Arial" w:cs="Arial"/>
          <w:b/>
          <w:bCs/>
          <w:sz w:val="18"/>
          <w:szCs w:val="18"/>
        </w:rPr>
        <w:t>Supplementary Figure S2. Clustering stability across different resolutions in retinal single-cell data.</w:t>
      </w:r>
      <w:r w:rsidRPr="00D20CB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20CB2">
        <w:rPr>
          <w:rFonts w:ascii="Arial" w:hAnsi="Arial" w:cs="Arial"/>
          <w:sz w:val="18"/>
          <w:szCs w:val="18"/>
        </w:rPr>
        <w:t>Clustree</w:t>
      </w:r>
      <w:proofErr w:type="spellEnd"/>
      <w:r w:rsidRPr="00D20CB2">
        <w:rPr>
          <w:rFonts w:ascii="Arial" w:hAnsi="Arial" w:cs="Arial"/>
          <w:sz w:val="18"/>
          <w:szCs w:val="18"/>
        </w:rPr>
        <w:t xml:space="preserve"> visualization showing the relationships among cell clusters across clustering resolutions from 0.1 to 1.0. A resolution of 0.4 was selected for subsequent cell clustering and annotation.</w:t>
      </w:r>
    </w:p>
    <w:p w14:paraId="0B4925C4" w14:textId="77777777" w:rsidR="002148F9" w:rsidRDefault="002148F9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00628DB1" w14:textId="3F7D39B1" w:rsidR="00090B17" w:rsidRDefault="00522A48" w:rsidP="00B11D15">
      <w:pPr>
        <w:spacing w:after="0" w:line="240" w:lineRule="auto"/>
        <w:jc w:val="center"/>
        <w:rPr>
          <w:rFonts w:hint="eastAsia"/>
        </w:rPr>
      </w:pPr>
      <w:r w:rsidRPr="00B11D15">
        <w:rPr>
          <w:rFonts w:ascii="Arial" w:hAnsi="Arial" w:cs="Arial"/>
          <w:noProof/>
        </w:rPr>
        <w:lastRenderedPageBreak/>
        <w:drawing>
          <wp:inline distT="0" distB="0" distL="0" distR="0" wp14:anchorId="421B0FE5" wp14:editId="749D1C68">
            <wp:extent cx="4822933" cy="7924800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5338" cy="792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64163" w14:textId="30EF37BB" w:rsidR="00090B17" w:rsidRDefault="00401763">
      <w:pPr>
        <w:widowControl/>
        <w:rPr>
          <w:rFonts w:hint="eastAsia"/>
        </w:rPr>
      </w:pPr>
      <w:r w:rsidRPr="00401763">
        <w:rPr>
          <w:rFonts w:ascii="Arial" w:hAnsi="Arial" w:cs="Arial"/>
          <w:b/>
          <w:bCs/>
          <w:sz w:val="18"/>
          <w:szCs w:val="18"/>
        </w:rPr>
        <w:t>Supplementary Figure S3. Outgoing and incoming signaling patterns across retinal cell types in the Control and IR groups.</w:t>
      </w:r>
      <w:r w:rsidRPr="00401763">
        <w:rPr>
          <w:rFonts w:ascii="Arial" w:hAnsi="Arial" w:cs="Arial"/>
          <w:sz w:val="18"/>
          <w:szCs w:val="18"/>
        </w:rPr>
        <w:t xml:space="preserve"> (A) Heatmaps showing outgoing signaling strength. (B) Heatmaps showing incoming signaling strength</w:t>
      </w:r>
      <w:r>
        <w:rPr>
          <w:rFonts w:ascii="Arial" w:hAnsi="Arial" w:cs="Arial" w:hint="eastAsia"/>
          <w:sz w:val="18"/>
          <w:szCs w:val="18"/>
        </w:rPr>
        <w:t>.</w:t>
      </w:r>
      <w:r w:rsidRPr="00401763">
        <w:rPr>
          <w:rFonts w:ascii="Arial" w:hAnsi="Arial" w:cs="Arial"/>
          <w:sz w:val="18"/>
          <w:szCs w:val="18"/>
        </w:rPr>
        <w:t xml:space="preserve"> The left and right panels represent the Control and IR groups, respectively.</w:t>
      </w:r>
      <w:r w:rsidR="00090B17">
        <w:rPr>
          <w:rFonts w:hint="eastAsia"/>
        </w:rPr>
        <w:br w:type="page"/>
      </w:r>
    </w:p>
    <w:p w14:paraId="041791A7" w14:textId="56DA1727" w:rsidR="002148F9" w:rsidRDefault="002148F9" w:rsidP="00F2613B">
      <w:pPr>
        <w:spacing w:after="0" w:line="240" w:lineRule="auto"/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632C9A21" wp14:editId="2AF1D544">
            <wp:extent cx="4860000" cy="6920393"/>
            <wp:effectExtent l="0" t="0" r="0" b="0"/>
            <wp:docPr id="4581996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6920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28AD91" w14:textId="2E8CAE42" w:rsidR="00DD12EE" w:rsidRDefault="00F2613B" w:rsidP="00DD12E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2613B">
        <w:rPr>
          <w:rFonts w:ascii="Arial" w:hAnsi="Arial" w:cs="Arial"/>
          <w:b/>
          <w:bCs/>
          <w:sz w:val="18"/>
          <w:szCs w:val="18"/>
        </w:rPr>
        <w:t>Supplementary Figure S4. Comparison of ligand–receptor interactions among macrophages, microglia, and RGCs between the Control and IR groups.</w:t>
      </w:r>
      <w:r w:rsidRPr="00F2613B">
        <w:rPr>
          <w:rFonts w:ascii="Arial" w:hAnsi="Arial" w:cs="Arial"/>
          <w:sz w:val="18"/>
          <w:szCs w:val="18"/>
        </w:rPr>
        <w:t xml:space="preserve"> Dot plot showing predicted communication probabilities of ligand–receptor interactions across different sender–receiver pairs. Dot color represents communication probability, and dot size indicates statistical significance.</w:t>
      </w:r>
    </w:p>
    <w:p w14:paraId="6605F4A3" w14:textId="77777777" w:rsidR="00DD12EE" w:rsidRDefault="00DD12EE">
      <w:pPr>
        <w:widowControl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626A996C" w14:textId="3711EE85" w:rsidR="00DD12EE" w:rsidRDefault="00AA02AD" w:rsidP="00DD12E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45F84580" wp14:editId="5DDAB8D6">
            <wp:extent cx="2599296" cy="4212000"/>
            <wp:effectExtent l="0" t="0" r="0" b="0"/>
            <wp:docPr id="15877492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749265" name="图片 158774926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296" cy="42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C89D5" w14:textId="43939784" w:rsidR="00DD12EE" w:rsidRDefault="00DD12EE" w:rsidP="00DD12E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D12EE">
        <w:rPr>
          <w:rFonts w:ascii="Arial" w:hAnsi="Arial" w:cs="Arial"/>
          <w:b/>
          <w:bCs/>
          <w:sz w:val="18"/>
          <w:szCs w:val="18"/>
        </w:rPr>
        <w:t xml:space="preserve">Supplementary Figure S5. </w:t>
      </w:r>
      <w:r w:rsidRPr="00DD12EE">
        <w:rPr>
          <w:rFonts w:ascii="Arial" w:hAnsi="Arial" w:cs="Arial"/>
          <w:sz w:val="18"/>
          <w:szCs w:val="18"/>
        </w:rPr>
        <w:t>Original Western blots corresponding to the immunoblots shown in Fig. 1E</w:t>
      </w:r>
      <w:r>
        <w:rPr>
          <w:rFonts w:ascii="Arial" w:hAnsi="Arial" w:cs="Arial" w:hint="eastAsia"/>
          <w:sz w:val="18"/>
          <w:szCs w:val="18"/>
        </w:rPr>
        <w:t xml:space="preserve"> </w:t>
      </w:r>
    </w:p>
    <w:p w14:paraId="6893B794" w14:textId="26863071" w:rsidR="00AA02AD" w:rsidRDefault="00AA02AD" w:rsidP="00DD12E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04FD2FAD" wp14:editId="41D2EF1D">
            <wp:extent cx="2584704" cy="4261104"/>
            <wp:effectExtent l="0" t="0" r="6350" b="6350"/>
            <wp:docPr id="8396261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26118" name="图片 83962611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704" cy="426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5CB35" w14:textId="5F9E8460" w:rsidR="00AA02AD" w:rsidRDefault="00AA02AD" w:rsidP="00AA02A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D12EE">
        <w:rPr>
          <w:rFonts w:ascii="Arial" w:hAnsi="Arial" w:cs="Arial"/>
          <w:b/>
          <w:bCs/>
          <w:sz w:val="18"/>
          <w:szCs w:val="18"/>
        </w:rPr>
        <w:t>Supplementary Figure S</w:t>
      </w:r>
      <w:r>
        <w:rPr>
          <w:rFonts w:ascii="Arial" w:hAnsi="Arial" w:cs="Arial" w:hint="eastAsia"/>
          <w:b/>
          <w:bCs/>
          <w:sz w:val="18"/>
          <w:szCs w:val="18"/>
        </w:rPr>
        <w:t>6</w:t>
      </w:r>
      <w:r w:rsidRPr="00DD12EE">
        <w:rPr>
          <w:rFonts w:ascii="Arial" w:hAnsi="Arial" w:cs="Arial"/>
          <w:b/>
          <w:bCs/>
          <w:sz w:val="18"/>
          <w:szCs w:val="18"/>
        </w:rPr>
        <w:t xml:space="preserve">. </w:t>
      </w:r>
      <w:r w:rsidRPr="00DD12EE">
        <w:rPr>
          <w:rFonts w:ascii="Arial" w:hAnsi="Arial" w:cs="Arial"/>
          <w:sz w:val="18"/>
          <w:szCs w:val="18"/>
        </w:rPr>
        <w:t>Original Western blots corresponding to the immunoblots shown in Fig. 7A</w:t>
      </w:r>
      <w:r>
        <w:rPr>
          <w:rFonts w:ascii="Arial" w:hAnsi="Arial" w:cs="Arial" w:hint="eastAsia"/>
          <w:sz w:val="18"/>
          <w:szCs w:val="18"/>
        </w:rPr>
        <w:t xml:space="preserve"> </w:t>
      </w:r>
    </w:p>
    <w:p w14:paraId="121A3A2D" w14:textId="77777777" w:rsidR="00AA02AD" w:rsidRPr="00AA02AD" w:rsidRDefault="00AA02AD" w:rsidP="00DD12EE">
      <w:pPr>
        <w:spacing w:after="0" w:line="240" w:lineRule="auto"/>
        <w:jc w:val="both"/>
        <w:rPr>
          <w:rFonts w:ascii="Arial" w:hAnsi="Arial" w:cs="Arial" w:hint="eastAsia"/>
          <w:sz w:val="18"/>
          <w:szCs w:val="18"/>
        </w:rPr>
      </w:pPr>
    </w:p>
    <w:sectPr w:rsidR="00AA02AD" w:rsidRPr="00AA02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6ECE6" w14:textId="77777777" w:rsidR="00343866" w:rsidRDefault="00343866" w:rsidP="000059C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BB44F28" w14:textId="77777777" w:rsidR="00343866" w:rsidRDefault="00343866" w:rsidP="000059C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DCA36" w14:textId="77777777" w:rsidR="000059C1" w:rsidRDefault="000059C1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E191" w14:textId="77777777" w:rsidR="000059C1" w:rsidRDefault="000059C1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D5B9A" w14:textId="77777777" w:rsidR="000059C1" w:rsidRDefault="000059C1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A9A7D" w14:textId="77777777" w:rsidR="00343866" w:rsidRDefault="00343866" w:rsidP="000059C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F6A6BA4" w14:textId="77777777" w:rsidR="00343866" w:rsidRDefault="00343866" w:rsidP="000059C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6310" w14:textId="77777777" w:rsidR="000059C1" w:rsidRDefault="000059C1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143D9" w14:textId="77777777" w:rsidR="000059C1" w:rsidRDefault="000059C1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B5447" w14:textId="77777777" w:rsidR="000059C1" w:rsidRDefault="000059C1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A367A48A-109A-4DC5-81FA-ED895DAFC392}"/>
    <w:docVar w:name="KY_MEDREF_VERSION" w:val="3"/>
  </w:docVars>
  <w:rsids>
    <w:rsidRoot w:val="000059C1"/>
    <w:rsid w:val="000059C1"/>
    <w:rsid w:val="00056788"/>
    <w:rsid w:val="00071180"/>
    <w:rsid w:val="00090B17"/>
    <w:rsid w:val="002148F9"/>
    <w:rsid w:val="002375E7"/>
    <w:rsid w:val="00244EA2"/>
    <w:rsid w:val="002E1331"/>
    <w:rsid w:val="002E4069"/>
    <w:rsid w:val="00320DA5"/>
    <w:rsid w:val="00343866"/>
    <w:rsid w:val="00401763"/>
    <w:rsid w:val="0043432B"/>
    <w:rsid w:val="00492A21"/>
    <w:rsid w:val="004D2B68"/>
    <w:rsid w:val="00522A48"/>
    <w:rsid w:val="00557259"/>
    <w:rsid w:val="00567CDA"/>
    <w:rsid w:val="0057268B"/>
    <w:rsid w:val="005749AF"/>
    <w:rsid w:val="00591613"/>
    <w:rsid w:val="0059527C"/>
    <w:rsid w:val="006205E9"/>
    <w:rsid w:val="00723A16"/>
    <w:rsid w:val="0072588F"/>
    <w:rsid w:val="007627F4"/>
    <w:rsid w:val="00782B6C"/>
    <w:rsid w:val="00894D21"/>
    <w:rsid w:val="009B5161"/>
    <w:rsid w:val="00A2154F"/>
    <w:rsid w:val="00A25F11"/>
    <w:rsid w:val="00A77D87"/>
    <w:rsid w:val="00AA02AD"/>
    <w:rsid w:val="00AA4760"/>
    <w:rsid w:val="00AE5486"/>
    <w:rsid w:val="00B11D15"/>
    <w:rsid w:val="00BD49BC"/>
    <w:rsid w:val="00BE1416"/>
    <w:rsid w:val="00CF06F4"/>
    <w:rsid w:val="00CF2FC2"/>
    <w:rsid w:val="00D20CB2"/>
    <w:rsid w:val="00DD12EE"/>
    <w:rsid w:val="00DF6C9B"/>
    <w:rsid w:val="00E6685B"/>
    <w:rsid w:val="00F00FC3"/>
    <w:rsid w:val="00F2613B"/>
    <w:rsid w:val="00F3136A"/>
    <w:rsid w:val="00F37F8E"/>
    <w:rsid w:val="00FA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46E2E"/>
  <w15:chartTrackingRefBased/>
  <w15:docId w15:val="{CD2B6421-07C3-4D3A-BC43-C56031BE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59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59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9C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9C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59C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59C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9C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59C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59C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59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59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59C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59C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059C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59C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59C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59C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59C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05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59C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059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5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059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59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59C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59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059C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59C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059C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059C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059C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059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ti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X.chen ~</dc:creator>
  <cp:keywords/>
  <dc:description/>
  <cp:lastModifiedBy>X.chen ~</cp:lastModifiedBy>
  <cp:revision>2</cp:revision>
  <dcterms:created xsi:type="dcterms:W3CDTF">2026-10-09T15:06:00Z</dcterms:created>
  <dcterms:modified xsi:type="dcterms:W3CDTF">2026-10-09T15:06:00Z</dcterms:modified>
</cp:coreProperties>
</file>