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70FA8" w14:textId="77777777" w:rsidR="00F163F4" w:rsidRDefault="008F12B7">
      <w:pPr>
        <w:jc w:val="center"/>
      </w:pPr>
      <w:r>
        <w:rPr>
          <w:b/>
          <w:sz w:val="32"/>
        </w:rPr>
        <w:t>SUPPLEMENTARY FILE 2</w:t>
      </w:r>
    </w:p>
    <w:p w14:paraId="4710A8ED" w14:textId="77777777" w:rsidR="00F163F4" w:rsidRDefault="008F12B7">
      <w:pPr>
        <w:jc w:val="center"/>
      </w:pPr>
      <w:r>
        <w:rPr>
          <w:b/>
          <w:sz w:val="28"/>
        </w:rPr>
        <w:t>Detailed Reflexive Thematic Analysis Process</w:t>
      </w:r>
    </w:p>
    <w:p w14:paraId="652D608A" w14:textId="713584D6" w:rsidR="00F163F4" w:rsidRDefault="008F12B7">
      <w:pPr>
        <w:jc w:val="center"/>
      </w:pPr>
      <w:r>
        <w:rPr>
          <w:i/>
        </w:rPr>
        <w:t>Manuscript 2: Community Health Cadres as Community Mediators in Supporting Families at Risk of Stunting: A Qualitative Study within Maternal and Child Health Services</w:t>
      </w:r>
      <w:r w:rsidR="00DE6BB4">
        <w:rPr>
          <w:i/>
        </w:rPr>
        <w:t xml:space="preserve"> </w:t>
      </w:r>
      <w:proofErr w:type="gramStart"/>
      <w:r w:rsidR="00DE6BB4">
        <w:rPr>
          <w:i/>
        </w:rPr>
        <w:t>In</w:t>
      </w:r>
      <w:proofErr w:type="gramEnd"/>
      <w:r w:rsidR="00DE6BB4">
        <w:rPr>
          <w:i/>
        </w:rPr>
        <w:t xml:space="preserve"> Indonesia</w:t>
      </w:r>
    </w:p>
    <w:p w14:paraId="18DD832C" w14:textId="77777777" w:rsidR="00F163F4" w:rsidRDefault="008F12B7">
      <w:r>
        <w:t xml:space="preserve">The </w:t>
      </w:r>
      <w:r>
        <w:t xml:space="preserve">qualitative data were analysed using Braun and Clarke’s six-phase reflexive thematic analysis. The process below provides a concise audit trail showing how the qualitative data were developed into the final themes and subthemes reported in the manuscript. </w:t>
      </w:r>
      <w:r>
        <w:t>NVivo 15 was used to support data organisation, coding, retrieval, and management.</w:t>
      </w:r>
    </w:p>
    <w:p w14:paraId="04FDFE30" w14:textId="344F7A10" w:rsidR="00F163F4" w:rsidRDefault="00DE6BB4">
      <w:pPr>
        <w:jc w:val="center"/>
      </w:pPr>
      <w:r>
        <w:rPr>
          <w:noProof/>
        </w:rPr>
        <w:drawing>
          <wp:anchor distT="0" distB="0" distL="114300" distR="114300" simplePos="0" relativeHeight="251659264" behindDoc="0" locked="0" layoutInCell="1" allowOverlap="1" wp14:anchorId="680A7A7F" wp14:editId="05B4BD36">
            <wp:simplePos x="0" y="0"/>
            <wp:positionH relativeFrom="page">
              <wp:posOffset>685800</wp:posOffset>
            </wp:positionH>
            <wp:positionV relativeFrom="page">
              <wp:posOffset>2613660</wp:posOffset>
            </wp:positionV>
            <wp:extent cx="6400800" cy="4445000"/>
            <wp:effectExtent l="0" t="0" r="0" b="0"/>
            <wp:wrapNone/>
            <wp:docPr id="33741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17168" name="Picture 337417168"/>
                    <pic:cNvPicPr/>
                  </pic:nvPicPr>
                  <pic:blipFill>
                    <a:blip r:embed="rId6"/>
                    <a:stretch>
                      <a:fillRect/>
                    </a:stretch>
                  </pic:blipFill>
                  <pic:spPr>
                    <a:xfrm>
                      <a:off x="0" y="0"/>
                      <a:ext cx="6400800" cy="4445000"/>
                    </a:xfrm>
                    <a:prstGeom prst="rect">
                      <a:avLst/>
                    </a:prstGeom>
                  </pic:spPr>
                </pic:pic>
              </a:graphicData>
            </a:graphic>
          </wp:anchor>
        </w:drawing>
      </w:r>
    </w:p>
    <w:p w14:paraId="1F0D2AB1" w14:textId="77777777" w:rsidR="00F163F4" w:rsidRDefault="008F12B7">
      <w:pPr>
        <w:jc w:val="center"/>
      </w:pPr>
      <w:r>
        <w:rPr>
          <w:i/>
        </w:rPr>
        <w:t>Figure 1. Reflexive thematic analysis process used for Manuscript 2.</w:t>
      </w:r>
    </w:p>
    <w:p w14:paraId="572B8511" w14:textId="76316410" w:rsidR="00F163F4" w:rsidRPr="00DE6BB4" w:rsidRDefault="008F12B7" w:rsidP="00DE6BB4">
      <w:pPr>
        <w:pStyle w:val="ListParagraph"/>
        <w:numPr>
          <w:ilvl w:val="0"/>
          <w:numId w:val="10"/>
        </w:numPr>
        <w:rPr>
          <w:b/>
          <w:sz w:val="24"/>
        </w:rPr>
      </w:pPr>
      <w:r w:rsidRPr="00DE6BB4">
        <w:rPr>
          <w:b/>
          <w:sz w:val="24"/>
        </w:rPr>
        <w:t>Familiarization with the Data</w:t>
      </w:r>
    </w:p>
    <w:p w14:paraId="752EAE84" w14:textId="77777777" w:rsidR="00DE6BB4" w:rsidRDefault="00DE6BB4" w:rsidP="00DE6BB4"/>
    <w:p w14:paraId="34B3C137" w14:textId="77777777" w:rsidR="00DE6BB4" w:rsidRDefault="00DE6BB4" w:rsidP="00DE6BB4"/>
    <w:p w14:paraId="25BA522D" w14:textId="77777777" w:rsidR="00DE6BB4" w:rsidRDefault="00DE6BB4" w:rsidP="00DE6BB4"/>
    <w:p w14:paraId="303E5AAB" w14:textId="77777777" w:rsidR="00DE6BB4" w:rsidRDefault="00DE6BB4" w:rsidP="00DE6BB4"/>
    <w:p w14:paraId="3E4045C3" w14:textId="77777777" w:rsidR="00DE6BB4" w:rsidRDefault="00DE6BB4" w:rsidP="00DE6BB4"/>
    <w:p w14:paraId="07295463" w14:textId="77777777" w:rsidR="00DE6BB4" w:rsidRDefault="00DE6BB4" w:rsidP="00DE6BB4"/>
    <w:p w14:paraId="578709C2" w14:textId="77777777" w:rsidR="00DE6BB4" w:rsidRDefault="00DE6BB4" w:rsidP="00DE6BB4"/>
    <w:p w14:paraId="55CCEDAA" w14:textId="77777777" w:rsidR="00DE6BB4" w:rsidRDefault="00DE6BB4" w:rsidP="00DE6BB4"/>
    <w:p w14:paraId="2457FA39" w14:textId="77777777" w:rsidR="00DE6BB4" w:rsidRDefault="00DE6BB4" w:rsidP="00DE6BB4"/>
    <w:p w14:paraId="1C626437" w14:textId="77777777" w:rsidR="00DE6BB4" w:rsidRDefault="00DE6BB4" w:rsidP="00DE6BB4"/>
    <w:p w14:paraId="15FEF1E7" w14:textId="77777777" w:rsidR="00DE6BB4" w:rsidRDefault="00DE6BB4" w:rsidP="00DE6BB4"/>
    <w:p w14:paraId="4571B570" w14:textId="77777777" w:rsidR="00DE6BB4" w:rsidRDefault="00DE6BB4" w:rsidP="00DE6BB4"/>
    <w:p w14:paraId="3B9CC2EE" w14:textId="77777777" w:rsidR="00F163F4" w:rsidRDefault="008F12B7">
      <w:r>
        <w:t>The researcher repeatedly read the verbatim transcripts from</w:t>
      </w:r>
      <w:r>
        <w:t xml:space="preserve"> the focus group discussions (FGDs) and in-depth interviews to become familiar with the dataset. Audio recordings were reviewed when necessary to verify transcription accuracy. Field notes, observation notes, and reflective notes were also reviewed to capt</w:t>
      </w:r>
      <w:r>
        <w:t>ure contextual observations and initial analytical ideas. Familiarization focused on participants’ accounts of community health cadre roles, communication with families, family engagement, home visits, health education, community participation, and interac</w:t>
      </w:r>
      <w:r>
        <w:t>tions with maternal and child health services.</w:t>
      </w:r>
    </w:p>
    <w:p w14:paraId="07EEF191" w14:textId="77777777" w:rsidR="00F163F4" w:rsidRDefault="008F12B7">
      <w:r>
        <w:rPr>
          <w:b/>
          <w:sz w:val="24"/>
        </w:rPr>
        <w:t>2. Generating Initial Codes</w:t>
      </w:r>
    </w:p>
    <w:p w14:paraId="74B5F7A1" w14:textId="77777777" w:rsidR="00F163F4" w:rsidRDefault="008F12B7">
      <w:r>
        <w:t>Relevant segments of the transcripts were coded inductively according to the meanings expressed by participants. Coding focused on statements describing community perceptions of stu</w:t>
      </w:r>
      <w:r>
        <w:t>nting prevention, expectations of cadre support, family and community engagement, home visits, growth monitoring, communication and health education, linkages with health services, adaptive communication strategies, community and health-system support, and</w:t>
      </w:r>
      <w:r>
        <w:t xml:space="preserve"> challenges encountered by cadres. NVivo 15 was used to organise </w:t>
      </w:r>
      <w:r>
        <w:lastRenderedPageBreak/>
        <w:t>and retrieve coded data. Codes were reviewed iteratively to ensure that they remained grounded in participants’ accounts.</w:t>
      </w:r>
    </w:p>
    <w:p w14:paraId="03E9BEEC" w14:textId="77777777" w:rsidR="00F163F4" w:rsidRDefault="008F12B7">
      <w:r>
        <w:rPr>
          <w:b/>
          <w:sz w:val="24"/>
        </w:rPr>
        <w:t>3. Searching for Themes</w:t>
      </w:r>
    </w:p>
    <w:p w14:paraId="394E18B6" w14:textId="77777777" w:rsidR="00F163F4" w:rsidRDefault="008F12B7">
      <w:r>
        <w:t>Related codes were grouped according to share</w:t>
      </w:r>
      <w:r>
        <w:t>d meanings and patterns across the dataset. Through this process, codes were organised into candidate subthemes concerning community perceptions and engagement, cadre-mediated family engagement, communication and health education, home visits and monitorin</w:t>
      </w:r>
      <w:r>
        <w:t>g, connections between families and maternal and child health services, and factors enabling or constraining cadre-mediated practices. The candidate subthemes were then considered in relation to the broader pattern of community health cadres functioning as</w:t>
      </w:r>
      <w:r>
        <w:t xml:space="preserve"> community mediators in stunting prevention.</w:t>
      </w:r>
    </w:p>
    <w:p w14:paraId="0416C1B5" w14:textId="77777777" w:rsidR="00F163F4" w:rsidRDefault="008F12B7">
      <w:r>
        <w:rPr>
          <w:b/>
          <w:sz w:val="24"/>
        </w:rPr>
        <w:t>4. Reviewing Themes</w:t>
      </w:r>
    </w:p>
    <w:p w14:paraId="7811EA15" w14:textId="77777777" w:rsidR="00F163F4" w:rsidRDefault="008F12B7">
      <w:r>
        <w:t>Candidate subthemes were reviewed against the coded extracts and the dataset as a whole. The researcher examined whether each subtheme had internal coherence, was sufficiently distinct from t</w:t>
      </w:r>
      <w:r>
        <w:t>he others, and remained relevant to the study aim. Interpretations were compared across the different participant groups and between FGD and in-depth interview data. Particular attention was given to whether the emerging themes adequately captured the proc</w:t>
      </w:r>
      <w:r>
        <w:t>esses through which cadres engaged families, adapted communication, conducted home visits, and connected families with maternal and child health services. Overlapping meanings were clarified and related codes were consolidated where appropriate.</w:t>
      </w:r>
    </w:p>
    <w:p w14:paraId="624E23B5" w14:textId="77777777" w:rsidR="00F163F4" w:rsidRDefault="008F12B7">
      <w:r>
        <w:rPr>
          <w:b/>
          <w:sz w:val="24"/>
        </w:rPr>
        <w:t>5. Definin</w:t>
      </w:r>
      <w:r>
        <w:rPr>
          <w:b/>
          <w:sz w:val="24"/>
        </w:rPr>
        <w:t>g and Naming Themes</w:t>
      </w:r>
    </w:p>
    <w:p w14:paraId="6ABCCF29" w14:textId="77777777" w:rsidR="00F163F4" w:rsidRDefault="008F12B7">
      <w:r>
        <w:t xml:space="preserve">The subthemes were refined and clearly defined to capture their central organising concepts. Three final themes were identified: (1) Community Perceptions and Engagement in Stunting Prevention; (2) Community Health Cadres as </w:t>
      </w:r>
      <w:r>
        <w:t>Community Mediators; and (3) Enabling and Constraining Factors in Cadre-Mediated Engagement. These themes and their associated subthemes were integrated into an analytical framework describing how community health cadres mediate between families, communiti</w:t>
      </w:r>
      <w:r>
        <w:t>es, and maternal and child health services.</w:t>
      </w:r>
    </w:p>
    <w:p w14:paraId="68645420" w14:textId="77777777" w:rsidR="00F163F4" w:rsidRDefault="008F12B7">
      <w:r>
        <w:rPr>
          <w:b/>
          <w:sz w:val="24"/>
        </w:rPr>
        <w:t>6. Producing the Report</w:t>
      </w:r>
    </w:p>
    <w:p w14:paraId="6BFC2F9B" w14:textId="77777777" w:rsidR="00F163F4" w:rsidRDefault="008F12B7">
      <w:r>
        <w:t xml:space="preserve">The final themes and subthemes were organised into a coherent analytical narrative. Participant quotations were selected to illustrate and support the interpretation of each subtheme. The </w:t>
      </w:r>
      <w:r>
        <w:t>final thematic structure was presented in Table 2 of the manuscript and illustrated in the coding tree. The analysis emphasised how community health cadres functioned as community mediators through communication, family engagement, home visits, health educ</w:t>
      </w:r>
      <w:r>
        <w:t>ation, and linkages with maternal and child health services, while also identifying community and health-system factors that enabled or constrained these practices.</w:t>
      </w:r>
    </w:p>
    <w:p w14:paraId="44BB414C" w14:textId="77777777" w:rsidR="00F163F4" w:rsidRDefault="008F12B7">
      <w:r>
        <w:rPr>
          <w:b/>
          <w:sz w:val="24"/>
        </w:rPr>
        <w:t>Final Thematic Structure</w:t>
      </w:r>
    </w:p>
    <w:tbl>
      <w:tblPr>
        <w:tblStyle w:val="TableGrid"/>
        <w:tblW w:w="0" w:type="auto"/>
        <w:jc w:val="center"/>
        <w:tblLook w:val="04A0" w:firstRow="1" w:lastRow="0" w:firstColumn="1" w:lastColumn="0" w:noHBand="0" w:noVBand="1"/>
      </w:tblPr>
      <w:tblGrid>
        <w:gridCol w:w="2787"/>
        <w:gridCol w:w="3327"/>
        <w:gridCol w:w="3956"/>
      </w:tblGrid>
      <w:tr w:rsidR="00F163F4" w14:paraId="1AE52A81" w14:textId="77777777" w:rsidTr="00DE6BB4">
        <w:trPr>
          <w:jc w:val="center"/>
        </w:trPr>
        <w:tc>
          <w:tcPr>
            <w:tcW w:w="2790" w:type="dxa"/>
          </w:tcPr>
          <w:p w14:paraId="5EC4E157" w14:textId="77777777" w:rsidR="00F163F4" w:rsidRDefault="008F12B7">
            <w:r>
              <w:rPr>
                <w:b/>
              </w:rPr>
              <w:t>Theme</w:t>
            </w:r>
          </w:p>
        </w:tc>
        <w:tc>
          <w:tcPr>
            <w:tcW w:w="3330" w:type="dxa"/>
          </w:tcPr>
          <w:p w14:paraId="4205B38D" w14:textId="77777777" w:rsidR="00F163F4" w:rsidRDefault="008F12B7">
            <w:r>
              <w:rPr>
                <w:b/>
              </w:rPr>
              <w:t>Subtheme</w:t>
            </w:r>
          </w:p>
        </w:tc>
        <w:tc>
          <w:tcPr>
            <w:tcW w:w="3960" w:type="dxa"/>
          </w:tcPr>
          <w:p w14:paraId="6FC6061B" w14:textId="77777777" w:rsidR="00F163F4" w:rsidRDefault="008F12B7">
            <w:r>
              <w:rPr>
                <w:b/>
              </w:rPr>
              <w:t>Codes</w:t>
            </w:r>
          </w:p>
        </w:tc>
      </w:tr>
      <w:tr w:rsidR="00DE6BB4" w14:paraId="7DA1BAC3" w14:textId="77777777" w:rsidTr="00DE6BB4">
        <w:trPr>
          <w:jc w:val="center"/>
        </w:trPr>
        <w:tc>
          <w:tcPr>
            <w:tcW w:w="2790" w:type="dxa"/>
            <w:vMerge w:val="restart"/>
            <w:vAlign w:val="center"/>
          </w:tcPr>
          <w:p w14:paraId="606D6702" w14:textId="77777777" w:rsidR="00DE6BB4" w:rsidRDefault="00DE6BB4" w:rsidP="00DE6BB4">
            <w:pPr>
              <w:rPr>
                <w:szCs w:val="20"/>
              </w:rPr>
            </w:pPr>
          </w:p>
          <w:p w14:paraId="3963D7FB" w14:textId="77777777" w:rsidR="00DE6BB4" w:rsidRDefault="00DE6BB4" w:rsidP="00DE6BB4">
            <w:pPr>
              <w:rPr>
                <w:szCs w:val="20"/>
              </w:rPr>
            </w:pPr>
          </w:p>
          <w:p w14:paraId="29BE2FBF" w14:textId="77777777" w:rsidR="00DE6BB4" w:rsidRDefault="00DE6BB4" w:rsidP="00DE6BB4">
            <w:pPr>
              <w:rPr>
                <w:szCs w:val="20"/>
              </w:rPr>
            </w:pPr>
          </w:p>
          <w:p w14:paraId="60D7A21A" w14:textId="77777777" w:rsidR="00DE6BB4" w:rsidRDefault="00DE6BB4" w:rsidP="00DE6BB4">
            <w:pPr>
              <w:rPr>
                <w:szCs w:val="20"/>
              </w:rPr>
            </w:pPr>
          </w:p>
          <w:p w14:paraId="0AED31DA" w14:textId="77777777" w:rsidR="00DE6BB4" w:rsidRDefault="00DE6BB4" w:rsidP="00DE6BB4">
            <w:pPr>
              <w:rPr>
                <w:szCs w:val="20"/>
              </w:rPr>
            </w:pPr>
          </w:p>
          <w:p w14:paraId="7662FE23" w14:textId="77777777" w:rsidR="00DE6BB4" w:rsidRDefault="00DE6BB4" w:rsidP="00DE6BB4">
            <w:pPr>
              <w:rPr>
                <w:szCs w:val="20"/>
              </w:rPr>
            </w:pPr>
          </w:p>
          <w:p w14:paraId="300D8B16" w14:textId="77777777" w:rsidR="00DE6BB4" w:rsidRDefault="00DE6BB4" w:rsidP="00DE6BB4">
            <w:pPr>
              <w:rPr>
                <w:szCs w:val="20"/>
              </w:rPr>
            </w:pPr>
          </w:p>
          <w:p w14:paraId="649C5188" w14:textId="4EBC7CD3" w:rsidR="00DE6BB4" w:rsidRPr="00DE6BB4" w:rsidRDefault="00DE6BB4" w:rsidP="00DE6BB4">
            <w:pPr>
              <w:rPr>
                <w:szCs w:val="20"/>
              </w:rPr>
            </w:pPr>
            <w:r w:rsidRPr="00DE6BB4">
              <w:rPr>
                <w:szCs w:val="20"/>
              </w:rPr>
              <w:t>Community Health Cadres as Community Mediators in Supporting Families at Risk of Stunting</w:t>
            </w:r>
          </w:p>
        </w:tc>
        <w:tc>
          <w:tcPr>
            <w:tcW w:w="3330" w:type="dxa"/>
            <w:vAlign w:val="center"/>
          </w:tcPr>
          <w:p w14:paraId="5BF0B0DC" w14:textId="50C2EEFE" w:rsidR="00DE6BB4" w:rsidRDefault="00DE6BB4" w:rsidP="00DE6BB4">
            <w:r>
              <w:t>Community Perceptions and Engagement in Stunting Prevention</w:t>
            </w:r>
          </w:p>
        </w:tc>
        <w:tc>
          <w:tcPr>
            <w:tcW w:w="3960" w:type="dxa"/>
            <w:vAlign w:val="center"/>
          </w:tcPr>
          <w:p w14:paraId="3BBDDBB0" w14:textId="720F7840" w:rsidR="00DE6BB4" w:rsidRDefault="00DE6BB4" w:rsidP="00DE6BB4">
            <w:r>
              <w:t>1. Expectations of cadre support and engagement</w:t>
            </w:r>
            <w:r>
              <w:br/>
              <w:t>2. Gaps in community understanding of stunting</w:t>
            </w:r>
            <w:r>
              <w:br/>
              <w:t>3. Family and community engagement</w:t>
            </w:r>
          </w:p>
        </w:tc>
      </w:tr>
      <w:tr w:rsidR="00DE6BB4" w14:paraId="045A620E" w14:textId="77777777" w:rsidTr="00DE6BB4">
        <w:trPr>
          <w:jc w:val="center"/>
        </w:trPr>
        <w:tc>
          <w:tcPr>
            <w:tcW w:w="2790" w:type="dxa"/>
            <w:vMerge/>
            <w:vAlign w:val="center"/>
          </w:tcPr>
          <w:p w14:paraId="4086C426" w14:textId="1FFAE14C" w:rsidR="00DE6BB4" w:rsidRDefault="00DE6BB4" w:rsidP="00DE6BB4"/>
        </w:tc>
        <w:tc>
          <w:tcPr>
            <w:tcW w:w="3330" w:type="dxa"/>
            <w:vAlign w:val="center"/>
          </w:tcPr>
          <w:p w14:paraId="0D1FC2A5" w14:textId="61575D43" w:rsidR="00DE6BB4" w:rsidRDefault="00DE6BB4" w:rsidP="00DE6BB4">
            <w:r>
              <w:t>Community Health Cadres as Community Mediators</w:t>
            </w:r>
          </w:p>
        </w:tc>
        <w:tc>
          <w:tcPr>
            <w:tcW w:w="3960" w:type="dxa"/>
            <w:vAlign w:val="center"/>
          </w:tcPr>
          <w:p w14:paraId="167AE971" w14:textId="56853213" w:rsidR="00DE6BB4" w:rsidRDefault="00DE6BB4" w:rsidP="00DE6BB4">
            <w:r>
              <w:t>1. Home visits, monitoring, and family engagement</w:t>
            </w:r>
            <w:r>
              <w:br/>
              <w:t>2. Communication and health education</w:t>
            </w:r>
            <w:r>
              <w:br/>
              <w:t>3. Bridging families and maternal and child health services</w:t>
            </w:r>
            <w:r>
              <w:br/>
              <w:t>4. Adaptive communication and contextual engagement</w:t>
            </w:r>
          </w:p>
        </w:tc>
      </w:tr>
      <w:tr w:rsidR="00DE6BB4" w14:paraId="0799D58A" w14:textId="77777777" w:rsidTr="00DE6BB4">
        <w:trPr>
          <w:jc w:val="center"/>
        </w:trPr>
        <w:tc>
          <w:tcPr>
            <w:tcW w:w="2790" w:type="dxa"/>
            <w:vMerge/>
            <w:vAlign w:val="center"/>
          </w:tcPr>
          <w:p w14:paraId="1A7069F0" w14:textId="76A1D49B" w:rsidR="00DE6BB4" w:rsidRDefault="00DE6BB4" w:rsidP="00DE6BB4"/>
        </w:tc>
        <w:tc>
          <w:tcPr>
            <w:tcW w:w="3330" w:type="dxa"/>
            <w:vAlign w:val="center"/>
          </w:tcPr>
          <w:p w14:paraId="659CCE2A" w14:textId="6FA1CF1E" w:rsidR="00DE6BB4" w:rsidRDefault="00DE6BB4" w:rsidP="00DE6BB4">
            <w:r>
              <w:t>Enabling and Constraining Factors in Cadre-Mediated Engagement</w:t>
            </w:r>
          </w:p>
        </w:tc>
        <w:tc>
          <w:tcPr>
            <w:tcW w:w="3960" w:type="dxa"/>
            <w:vAlign w:val="center"/>
          </w:tcPr>
          <w:p w14:paraId="4B9E0104" w14:textId="4EDEE26F" w:rsidR="00DE6BB4" w:rsidRDefault="00DE6BB4" w:rsidP="00DE6BB4">
            <w:r>
              <w:t>1. Health system and community support</w:t>
            </w:r>
            <w:r>
              <w:br/>
              <w:t xml:space="preserve">2. Challenges in cadre-mediated family </w:t>
            </w:r>
            <w:r>
              <w:lastRenderedPageBreak/>
              <w:t>engagement</w:t>
            </w:r>
          </w:p>
        </w:tc>
      </w:tr>
    </w:tbl>
    <w:p w14:paraId="33A1D5DE" w14:textId="77777777" w:rsidR="00F163F4" w:rsidRDefault="008F12B7">
      <w:r>
        <w:lastRenderedPageBreak/>
        <w:t>Note. The codes should be populated using the original NVivo coding output for Manuscript 2. No codes have bee</w:t>
      </w:r>
      <w:r>
        <w:t>n inferred or created where the source material provided only themes and subthemes.</w:t>
      </w:r>
    </w:p>
    <w:p w14:paraId="62966B1B" w14:textId="77777777" w:rsidR="00F163F4" w:rsidRDefault="008F12B7">
      <w:pPr>
        <w:jc w:val="center"/>
      </w:pPr>
      <w:r>
        <w:rPr>
          <w:i/>
        </w:rPr>
        <w:t>Figure 2. Coding tree illustrating the development of the themes, subthemes, and codes.</w:t>
      </w:r>
    </w:p>
    <w:p w14:paraId="3F97D342" w14:textId="77777777" w:rsidR="00F163F4" w:rsidRDefault="008F12B7">
      <w:r>
        <w:rPr>
          <w:b/>
        </w:rPr>
        <w:t>Analytic Output</w:t>
      </w:r>
    </w:p>
    <w:p w14:paraId="3E906CC2" w14:textId="77777777" w:rsidR="00F163F4" w:rsidRDefault="008F12B7">
      <w:r>
        <w:t>The analysis resulted in three interconnected themes and nine subthe</w:t>
      </w:r>
      <w:r>
        <w:t>mes. The coding structure illustrates how participants’ accounts developed from initial codes into subthemes and broader themes. The final thematic structure highlights the role of community health cadres as community mediators who facilitate family engage</w:t>
      </w:r>
      <w:r>
        <w:t>ment and connections with maternal and child health services within community-based stunting prevention.</w:t>
      </w:r>
    </w:p>
    <w:sectPr w:rsidR="00F163F4"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F93CB9"/>
    <w:multiLevelType w:val="hybridMultilevel"/>
    <w:tmpl w:val="05085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F12B7"/>
    <w:rsid w:val="00AA1D8D"/>
    <w:rsid w:val="00B47730"/>
    <w:rsid w:val="00CB0664"/>
    <w:rsid w:val="00DE6BB4"/>
    <w:rsid w:val="00EF55B3"/>
    <w:rsid w:val="00F163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34106"/>
  <w14:defaultImageDpi w14:val="300"/>
  <w15:docId w15:val="{DDD4D403-8546-424E-8DA7-A295BB09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cp:lastModifiedBy>
  <cp:revision>2</cp:revision>
  <dcterms:created xsi:type="dcterms:W3CDTF">2026-08-16T02:47:00Z</dcterms:created>
  <dcterms:modified xsi:type="dcterms:W3CDTF">2026-08-16T02:47:00Z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4aed84bd-fc34-48f4-9502-c817b5cb267b</vt:lpwstr>
  </property>
</Properties>
</file>