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E5913D" w14:textId="5C185378" w:rsidR="00BC780F" w:rsidRDefault="00D9424A" w:rsidP="00A45079">
      <w:pPr>
        <w:jc w:val="center"/>
      </w:pPr>
      <w:r w:rsidRPr="00D9424A">
        <w:rPr>
          <w:noProof/>
        </w:rPr>
        <w:drawing>
          <wp:inline distT="0" distB="0" distL="0" distR="0" wp14:anchorId="2C470C2B" wp14:editId="3CAAA4D7">
            <wp:extent cx="4292600" cy="5956300"/>
            <wp:effectExtent l="0" t="0" r="0" b="0"/>
            <wp:docPr id="622534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534478" name=""/>
                    <pic:cNvPicPr/>
                  </pic:nvPicPr>
                  <pic:blipFill>
                    <a:blip r:embed="rId8"/>
                    <a:stretch>
                      <a:fillRect/>
                    </a:stretch>
                  </pic:blipFill>
                  <pic:spPr>
                    <a:xfrm>
                      <a:off x="0" y="0"/>
                      <a:ext cx="4292600" cy="5956300"/>
                    </a:xfrm>
                    <a:prstGeom prst="rect">
                      <a:avLst/>
                    </a:prstGeom>
                  </pic:spPr>
                </pic:pic>
              </a:graphicData>
            </a:graphic>
          </wp:inline>
        </w:drawing>
      </w:r>
    </w:p>
    <w:p w14:paraId="174603F1" w14:textId="20DDAC5A" w:rsidR="00A45079" w:rsidRPr="00A45079" w:rsidRDefault="00A45079" w:rsidP="00A45079">
      <w:r w:rsidRPr="00A45079">
        <w:rPr>
          <w:b/>
          <w:bCs/>
        </w:rPr>
        <w:t xml:space="preserve">Supplemental Figure 1. </w:t>
      </w:r>
      <w:r w:rsidRPr="00A45079">
        <w:t xml:space="preserve">RSV G Protein-specific immunoglobulin responses </w:t>
      </w:r>
      <w:r w:rsidR="007F6EF9" w:rsidRPr="00A45079">
        <w:t>were</w:t>
      </w:r>
      <w:r w:rsidRPr="00A45079">
        <w:t xml:space="preserve"> measured for both </w:t>
      </w:r>
      <w:r w:rsidRPr="00A45079">
        <w:rPr>
          <w:b/>
          <w:bCs/>
        </w:rPr>
        <w:t>(A)</w:t>
      </w:r>
      <w:r w:rsidRPr="00A45079">
        <w:t xml:space="preserve"> RSV Type A </w:t>
      </w:r>
      <w:r w:rsidR="00D0334F" w:rsidRPr="00A45079">
        <w:t>and (</w:t>
      </w:r>
      <w:r w:rsidRPr="00A45079">
        <w:rPr>
          <w:b/>
          <w:bCs/>
        </w:rPr>
        <w:t xml:space="preserve">B) </w:t>
      </w:r>
      <w:r w:rsidRPr="00A45079">
        <w:t>Type B in serum from maternal blood (MB), cord blood (CB) and 2-month infant blood by systems serology and reported as log</w:t>
      </w:r>
      <w:r w:rsidRPr="00A45079">
        <w:rPr>
          <w:vertAlign w:val="subscript"/>
        </w:rPr>
        <w:t>10</w:t>
      </w:r>
      <w:r w:rsidRPr="00A45079">
        <w:t> mean fluorescence intensity. Each line connects a matched maternal-cord sample from the same dyad. Relative abundance of immunoglobulin isotypes (IgG, IgG1-4, IgM) were measured for all samples.</w:t>
      </w:r>
      <w:r w:rsidRPr="00A45079">
        <w:rPr>
          <w:b/>
          <w:bCs/>
        </w:rPr>
        <w:t xml:space="preserve"> </w:t>
      </w:r>
      <w:r w:rsidRPr="00A45079">
        <w:t>Linear mixed effects regression analysis with Bonferroni post-hoc. Asterisks indicate </w:t>
      </w:r>
      <w:r w:rsidRPr="00A45079">
        <w:rPr>
          <w:i/>
          <w:iCs/>
        </w:rPr>
        <w:t>p</w:t>
      </w:r>
      <w:r w:rsidRPr="00A45079">
        <w:rPr>
          <w:rFonts w:ascii="Arial" w:hAnsi="Arial" w:cs="Arial"/>
        </w:rPr>
        <w:t> </w:t>
      </w:r>
      <w:r w:rsidRPr="00A45079">
        <w:t>&lt;</w:t>
      </w:r>
      <w:r w:rsidRPr="00A45079">
        <w:rPr>
          <w:rFonts w:ascii="Arial" w:hAnsi="Arial" w:cs="Arial"/>
        </w:rPr>
        <w:t> </w:t>
      </w:r>
      <w:r w:rsidRPr="00A45079">
        <w:t>0.05. The stippled line and gray shading indicate the limit of background (LOB), defined as the log</w:t>
      </w:r>
      <w:r w:rsidRPr="00A45079">
        <w:rPr>
          <w:vertAlign w:val="subscript"/>
        </w:rPr>
        <w:t>10</w:t>
      </w:r>
      <w:r w:rsidRPr="00A45079">
        <w:t>MFI of a defined negative control</w:t>
      </w:r>
      <w:r w:rsidRPr="00A45079">
        <w:rPr>
          <w:b/>
          <w:bCs/>
        </w:rPr>
        <w:t xml:space="preserve">. </w:t>
      </w:r>
    </w:p>
    <w:p w14:paraId="3284C5D4" w14:textId="3F799A24" w:rsidR="00A45079" w:rsidRDefault="00A45079" w:rsidP="00A45079">
      <w:pPr>
        <w:jc w:val="center"/>
      </w:pPr>
      <w:r w:rsidRPr="00A45079">
        <w:rPr>
          <w:noProof/>
        </w:rPr>
        <w:lastRenderedPageBreak/>
        <w:drawing>
          <wp:inline distT="0" distB="0" distL="0" distR="0" wp14:anchorId="371B1A4A" wp14:editId="7C3653E4">
            <wp:extent cx="5943600" cy="3455670"/>
            <wp:effectExtent l="0" t="0" r="0" b="3810"/>
            <wp:docPr id="4" name="Picture 3">
              <a:extLst xmlns:a="http://schemas.openxmlformats.org/drawingml/2006/main">
                <a:ext uri="{FF2B5EF4-FFF2-40B4-BE49-F238E27FC236}">
                  <a16:creationId xmlns:a16="http://schemas.microsoft.com/office/drawing/2014/main" id="{7702BC70-24F4-0428-7229-EEF6BAC498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7702BC70-24F4-0428-7229-EEF6BAC498D5}"/>
                        </a:ext>
                      </a:extLst>
                    </pic:cNvPr>
                    <pic:cNvPicPr>
                      <a:picLocks noChangeAspect="1"/>
                    </pic:cNvPicPr>
                  </pic:nvPicPr>
                  <pic:blipFill>
                    <a:blip r:embed="rId9"/>
                    <a:stretch>
                      <a:fillRect/>
                    </a:stretch>
                  </pic:blipFill>
                  <pic:spPr>
                    <a:xfrm>
                      <a:off x="0" y="0"/>
                      <a:ext cx="5943600" cy="3455670"/>
                    </a:xfrm>
                    <a:prstGeom prst="rect">
                      <a:avLst/>
                    </a:prstGeom>
                  </pic:spPr>
                </pic:pic>
              </a:graphicData>
            </a:graphic>
          </wp:inline>
        </w:drawing>
      </w:r>
    </w:p>
    <w:p w14:paraId="0601C33B" w14:textId="39694B34" w:rsidR="00D24B9F" w:rsidRDefault="00A45079" w:rsidP="00A45079">
      <w:r w:rsidRPr="00A45079">
        <w:rPr>
          <w:b/>
          <w:bCs/>
        </w:rPr>
        <w:t xml:space="preserve">Supplemental Figure 2. </w:t>
      </w:r>
      <w:r w:rsidRPr="00A45079">
        <w:t>Representative gating strategy for multiplexed non-neutralizing antibody assay including antibody dependent neutrophil phagocytosis (ADNP), antibody dependent cellular phagocytosis (ADCP)</w:t>
      </w:r>
      <w:r w:rsidR="00200CF1">
        <w:t>,</w:t>
      </w:r>
      <w:r w:rsidRPr="00A45079">
        <w:t xml:space="preserve"> and antibody dependent NK cell cytotoxicity (ADNK).  </w:t>
      </w:r>
    </w:p>
    <w:p w14:paraId="066C4082" w14:textId="77777777" w:rsidR="00D24B9F" w:rsidRDefault="00D24B9F" w:rsidP="00A45079"/>
    <w:p w14:paraId="574676E9" w14:textId="77777777" w:rsidR="00A45079" w:rsidRDefault="00A45079" w:rsidP="00A45079"/>
    <w:p w14:paraId="34F3B352" w14:textId="05DDF286" w:rsidR="00A45079" w:rsidRPr="00A45079" w:rsidRDefault="00A45079" w:rsidP="00A45079">
      <w:pPr>
        <w:jc w:val="center"/>
      </w:pPr>
      <w:r w:rsidRPr="00A45079">
        <w:rPr>
          <w:noProof/>
        </w:rPr>
        <w:lastRenderedPageBreak/>
        <w:drawing>
          <wp:inline distT="0" distB="0" distL="0" distR="0" wp14:anchorId="2EADB933" wp14:editId="23CE7688">
            <wp:extent cx="6266767" cy="4189227"/>
            <wp:effectExtent l="0" t="0" r="0" b="1905"/>
            <wp:docPr id="84835164" name="Picture 3">
              <a:extLst xmlns:a="http://schemas.openxmlformats.org/drawingml/2006/main">
                <a:ext uri="{FF2B5EF4-FFF2-40B4-BE49-F238E27FC236}">
                  <a16:creationId xmlns:a16="http://schemas.microsoft.com/office/drawing/2014/main" id="{07434CB7-DD51-AF1A-B140-0A7676C498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7434CB7-DD51-AF1A-B140-0A7676C49829}"/>
                        </a:ext>
                      </a:extLst>
                    </pic:cNvPr>
                    <pic:cNvPicPr>
                      <a:picLocks noChangeAspect="1"/>
                    </pic:cNvPicPr>
                  </pic:nvPicPr>
                  <pic:blipFill>
                    <a:blip r:embed="rId10"/>
                    <a:stretch>
                      <a:fillRect/>
                    </a:stretch>
                  </pic:blipFill>
                  <pic:spPr>
                    <a:xfrm>
                      <a:off x="0" y="0"/>
                      <a:ext cx="6304846" cy="4214682"/>
                    </a:xfrm>
                    <a:prstGeom prst="rect">
                      <a:avLst/>
                    </a:prstGeom>
                  </pic:spPr>
                </pic:pic>
              </a:graphicData>
            </a:graphic>
          </wp:inline>
        </w:drawing>
      </w:r>
    </w:p>
    <w:p w14:paraId="737A8865" w14:textId="43AFD546" w:rsidR="00A45079" w:rsidRDefault="00A45079" w:rsidP="00A45079">
      <w:r w:rsidRPr="00A45079">
        <w:rPr>
          <w:b/>
          <w:bCs/>
        </w:rPr>
        <w:t xml:space="preserve">Supplemental Figure 3. </w:t>
      </w:r>
      <w:r w:rsidRPr="00A45079">
        <w:t xml:space="preserve">Representative gating strategy for </w:t>
      </w:r>
      <w:proofErr w:type="spellStart"/>
      <w:r w:rsidRPr="00A45079">
        <w:t>singleplex</w:t>
      </w:r>
      <w:proofErr w:type="spellEnd"/>
      <w:r w:rsidRPr="00A45079">
        <w:t xml:space="preserve"> non-neutralizing antibody assay including antibody dependent neutrophil phagocytosis (ADNP), antibody dependent cellular phagocytosis (ADCP)</w:t>
      </w:r>
      <w:r w:rsidR="00200CF1">
        <w:t>,</w:t>
      </w:r>
      <w:r w:rsidRPr="00A45079">
        <w:t xml:space="preserve"> and antibody dependent NK cell cytotoxicity (ADNK).  </w:t>
      </w:r>
    </w:p>
    <w:p w14:paraId="2D366872" w14:textId="098A9F28" w:rsidR="00A45079" w:rsidRDefault="00A45079" w:rsidP="00A45079">
      <w:pPr>
        <w:jc w:val="center"/>
      </w:pPr>
      <w:r w:rsidRPr="00A45079">
        <w:rPr>
          <w:noProof/>
        </w:rPr>
        <w:lastRenderedPageBreak/>
        <w:drawing>
          <wp:inline distT="0" distB="0" distL="0" distR="0" wp14:anchorId="26088A5D" wp14:editId="6C014A24">
            <wp:extent cx="5943600" cy="4113530"/>
            <wp:effectExtent l="0" t="0" r="0" b="0"/>
            <wp:docPr id="763905616" name="Picture 4">
              <a:extLst xmlns:a="http://schemas.openxmlformats.org/drawingml/2006/main">
                <a:ext uri="{FF2B5EF4-FFF2-40B4-BE49-F238E27FC236}">
                  <a16:creationId xmlns:a16="http://schemas.microsoft.com/office/drawing/2014/main" id="{7164604D-A37C-A4A2-E7CE-0C4A960995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164604D-A37C-A4A2-E7CE-0C4A96099547}"/>
                        </a:ext>
                      </a:extLst>
                    </pic:cNvPr>
                    <pic:cNvPicPr>
                      <a:picLocks noChangeAspect="1"/>
                    </pic:cNvPicPr>
                  </pic:nvPicPr>
                  <pic:blipFill>
                    <a:blip r:embed="rId11"/>
                    <a:stretch>
                      <a:fillRect/>
                    </a:stretch>
                  </pic:blipFill>
                  <pic:spPr>
                    <a:xfrm>
                      <a:off x="0" y="0"/>
                      <a:ext cx="5943600" cy="4113530"/>
                    </a:xfrm>
                    <a:prstGeom prst="rect">
                      <a:avLst/>
                    </a:prstGeom>
                  </pic:spPr>
                </pic:pic>
              </a:graphicData>
            </a:graphic>
          </wp:inline>
        </w:drawing>
      </w:r>
    </w:p>
    <w:p w14:paraId="18CF5B6C" w14:textId="4B95BC64" w:rsidR="00A45079" w:rsidRDefault="00A45079" w:rsidP="00A45079">
      <w:r w:rsidRPr="00A45079">
        <w:rPr>
          <w:b/>
          <w:bCs/>
        </w:rPr>
        <w:t xml:space="preserve">Supplemental Figure 4. </w:t>
      </w:r>
      <w:r w:rsidRPr="00A45079">
        <w:t xml:space="preserve">RSV </w:t>
      </w:r>
      <w:proofErr w:type="spellStart"/>
      <w:r w:rsidRPr="00A45079">
        <w:t>PreF</w:t>
      </w:r>
      <w:proofErr w:type="spellEnd"/>
      <w:r w:rsidRPr="00A45079">
        <w:t>-specific antibody functions were measured in serum from maternal blood (MB), cord blood (CB) and 2-month infant blood.</w:t>
      </w:r>
      <w:r w:rsidRPr="00A45079">
        <w:rPr>
          <w:b/>
          <w:bCs/>
        </w:rPr>
        <w:t xml:space="preserve"> </w:t>
      </w:r>
      <w:r w:rsidRPr="00A45079">
        <w:t xml:space="preserve">Cellular non-neutralizing functions were measured by </w:t>
      </w:r>
      <w:proofErr w:type="spellStart"/>
      <w:r w:rsidRPr="00A45079">
        <w:t>singleplex</w:t>
      </w:r>
      <w:proofErr w:type="spellEnd"/>
      <w:r w:rsidRPr="00A45079">
        <w:t xml:space="preserve"> or multiplexed flow cytometry analysis. Each line connects a matched maternal-cord sample from the same dyad. </w:t>
      </w:r>
      <w:r w:rsidRPr="00A45079">
        <w:rPr>
          <w:b/>
          <w:bCs/>
        </w:rPr>
        <w:t xml:space="preserve">(A) </w:t>
      </w:r>
      <w:r w:rsidRPr="00A45079">
        <w:t xml:space="preserve">Antibody dependent neutrophil phagocytosis (ADNP) and </w:t>
      </w:r>
      <w:r w:rsidRPr="00A45079">
        <w:rPr>
          <w:b/>
          <w:bCs/>
        </w:rPr>
        <w:t xml:space="preserve">(B) </w:t>
      </w:r>
      <w:r w:rsidRPr="00A45079">
        <w:t xml:space="preserve">antibody dependent cellular phagocytosis (ADCP) were reported as </w:t>
      </w:r>
      <w:proofErr w:type="spellStart"/>
      <w:r w:rsidRPr="00A45079">
        <w:t>PhagoScore</w:t>
      </w:r>
      <w:proofErr w:type="spellEnd"/>
      <w:r w:rsidRPr="00A45079">
        <w:t>, calculated as (% bead-positive monocytes/neutrophils)</w:t>
      </w:r>
      <w:r w:rsidRPr="00A45079">
        <w:rPr>
          <w:rFonts w:ascii="Arial" w:hAnsi="Arial" w:cs="Arial"/>
        </w:rPr>
        <w:t> </w:t>
      </w:r>
      <w:r w:rsidRPr="00A45079">
        <w:t>×</w:t>
      </w:r>
      <w:r w:rsidRPr="00A45079">
        <w:rPr>
          <w:rFonts w:ascii="Arial" w:hAnsi="Arial" w:cs="Arial"/>
        </w:rPr>
        <w:t> </w:t>
      </w:r>
      <w:r w:rsidRPr="00A45079">
        <w:t xml:space="preserve">(geometric MFI of each cell). </w:t>
      </w:r>
      <w:r w:rsidRPr="00A45079">
        <w:rPr>
          <w:b/>
          <w:bCs/>
        </w:rPr>
        <w:t xml:space="preserve">(C) </w:t>
      </w:r>
      <w:r w:rsidRPr="00A45079">
        <w:t xml:space="preserve">Antibody dependent NK cell cytotoxicity was measured as CD107a+/CD16+ NK cells. </w:t>
      </w:r>
      <w:r w:rsidRPr="00A45079">
        <w:rPr>
          <w:b/>
          <w:bCs/>
        </w:rPr>
        <w:t xml:space="preserve">(A-C) </w:t>
      </w:r>
      <w:r w:rsidRPr="00A45079">
        <w:t xml:space="preserve">Data were analyzed by paired t-test. </w:t>
      </w:r>
      <w:r w:rsidRPr="00A45079">
        <w:rPr>
          <w:b/>
          <w:bCs/>
        </w:rPr>
        <w:t xml:space="preserve">(D-F) </w:t>
      </w:r>
      <w:proofErr w:type="spellStart"/>
      <w:r w:rsidRPr="00A45079">
        <w:t>Singleplex</w:t>
      </w:r>
      <w:proofErr w:type="spellEnd"/>
      <w:r w:rsidRPr="00A45079">
        <w:t xml:space="preserve"> data was correlated to multiplex data with Pearson correlations with R values, p values</w:t>
      </w:r>
      <w:r w:rsidR="00200CF1">
        <w:t>,</w:t>
      </w:r>
      <w:r w:rsidRPr="00A45079">
        <w:t xml:space="preserve"> and simple linear regression lines shown on each individual comparison. </w:t>
      </w:r>
    </w:p>
    <w:p w14:paraId="510BC823" w14:textId="14E8727D" w:rsidR="00A45079" w:rsidRPr="00A45079" w:rsidRDefault="00596DB4" w:rsidP="00A45079">
      <w:pPr>
        <w:jc w:val="center"/>
      </w:pPr>
      <w:r w:rsidRPr="00596DB4">
        <w:rPr>
          <w:noProof/>
        </w:rPr>
        <w:lastRenderedPageBreak/>
        <w:drawing>
          <wp:inline distT="0" distB="0" distL="0" distR="0" wp14:anchorId="347CD960" wp14:editId="081B95FD">
            <wp:extent cx="6858000" cy="3004185"/>
            <wp:effectExtent l="0" t="0" r="0" b="5715"/>
            <wp:docPr id="725064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064483" name=""/>
                    <pic:cNvPicPr/>
                  </pic:nvPicPr>
                  <pic:blipFill>
                    <a:blip r:embed="rId12"/>
                    <a:stretch>
                      <a:fillRect/>
                    </a:stretch>
                  </pic:blipFill>
                  <pic:spPr>
                    <a:xfrm>
                      <a:off x="0" y="0"/>
                      <a:ext cx="6858000" cy="3004185"/>
                    </a:xfrm>
                    <a:prstGeom prst="rect">
                      <a:avLst/>
                    </a:prstGeom>
                  </pic:spPr>
                </pic:pic>
              </a:graphicData>
            </a:graphic>
          </wp:inline>
        </w:drawing>
      </w:r>
    </w:p>
    <w:p w14:paraId="17651D56" w14:textId="1D4BF974" w:rsidR="00A45079" w:rsidRPr="00A45079" w:rsidRDefault="5289DFEE" w:rsidP="00A45079">
      <w:r w:rsidRPr="3408D3C1">
        <w:rPr>
          <w:b/>
          <w:bCs/>
        </w:rPr>
        <w:t xml:space="preserve">Supplemental Figure 5. </w:t>
      </w:r>
      <w:r w:rsidR="5E9B65BB">
        <w:t>Sparse partial least squares discriminant analysis (</w:t>
      </w:r>
      <w:proofErr w:type="spellStart"/>
      <w:r w:rsidR="5E9B65BB">
        <w:t>sPLS</w:t>
      </w:r>
      <w:proofErr w:type="spellEnd"/>
      <w:r w:rsidR="5E9B65BB">
        <w:t xml:space="preserve">-DA) </w:t>
      </w:r>
      <w:r>
        <w:t>integrating MB and CB immune</w:t>
      </w:r>
      <w:r w:rsidR="18907F28">
        <w:t xml:space="preserve"> and steroid</w:t>
      </w:r>
      <w:r>
        <w:t xml:space="preserve"> features </w:t>
      </w:r>
      <w:r w:rsidR="00CF0BBA">
        <w:t xml:space="preserve">to classify </w:t>
      </w:r>
      <w:r>
        <w:t xml:space="preserve">high versus low 2-month infant RSV </w:t>
      </w:r>
      <w:proofErr w:type="spellStart"/>
      <w:r>
        <w:t>PreF</w:t>
      </w:r>
      <w:proofErr w:type="spellEnd"/>
      <w:r>
        <w:t>-specific (green) or H1N1 HA-specific (plum) IgG</w:t>
      </w:r>
      <w:r w:rsidR="511E59B8">
        <w:t>1</w:t>
      </w:r>
      <w:r>
        <w:t xml:space="preserve"> levels</w:t>
      </w:r>
      <w:r w:rsidR="585EA1BD">
        <w:t xml:space="preserve"> (n=28 maternal-cord pairings with complete data)</w:t>
      </w:r>
      <w:r>
        <w:t>. Plots represent</w:t>
      </w:r>
      <w:r w:rsidR="5B0F238C">
        <w:t xml:space="preserve"> each model-selected</w:t>
      </w:r>
      <w:r>
        <w:t xml:space="preserve"> feature used to predict high or low transfer for each antigen. For </w:t>
      </w:r>
      <w:r w:rsidR="511FC499">
        <w:t>H1N1 HA</w:t>
      </w:r>
      <w:r>
        <w:t xml:space="preserve">, features include </w:t>
      </w:r>
      <w:r w:rsidRPr="3408D3C1">
        <w:rPr>
          <w:b/>
          <w:bCs/>
        </w:rPr>
        <w:t>(A)</w:t>
      </w:r>
      <w:r>
        <w:t xml:space="preserve"> </w:t>
      </w:r>
      <w:r w:rsidR="7BF8945F">
        <w:t>Estr</w:t>
      </w:r>
      <w:r w:rsidR="511FC499">
        <w:t>adiol</w:t>
      </w:r>
      <w:r>
        <w:t xml:space="preserve"> in </w:t>
      </w:r>
      <w:r w:rsidR="511FC499">
        <w:t>C</w:t>
      </w:r>
      <w:r>
        <w:t xml:space="preserve">B, </w:t>
      </w:r>
      <w:r w:rsidRPr="3408D3C1">
        <w:rPr>
          <w:b/>
          <w:bCs/>
        </w:rPr>
        <w:t>(B)</w:t>
      </w:r>
      <w:r>
        <w:t xml:space="preserve"> </w:t>
      </w:r>
      <w:r w:rsidR="511FC499">
        <w:t>progesterone</w:t>
      </w:r>
      <w:r>
        <w:t xml:space="preserve"> in MB </w:t>
      </w:r>
      <w:r w:rsidRPr="3408D3C1">
        <w:rPr>
          <w:b/>
          <w:bCs/>
        </w:rPr>
        <w:t>(C)</w:t>
      </w:r>
      <w:r>
        <w:t xml:space="preserve"> </w:t>
      </w:r>
      <w:r w:rsidR="511FC499">
        <w:t>IgG2 in CB and MB</w:t>
      </w:r>
      <w:r>
        <w:t xml:space="preserve">, </w:t>
      </w:r>
      <w:r w:rsidR="511FC499" w:rsidRPr="3408D3C1">
        <w:rPr>
          <w:b/>
          <w:bCs/>
        </w:rPr>
        <w:t xml:space="preserve">(D) </w:t>
      </w:r>
      <w:r>
        <w:t xml:space="preserve">and </w:t>
      </w:r>
      <w:r w:rsidRPr="3408D3C1">
        <w:rPr>
          <w:b/>
          <w:bCs/>
        </w:rPr>
        <w:t>(E)</w:t>
      </w:r>
      <w:r>
        <w:t xml:space="preserve"> </w:t>
      </w:r>
      <w:r w:rsidR="511FC499">
        <w:t>ADNP</w:t>
      </w:r>
      <w:r>
        <w:t xml:space="preserve"> in </w:t>
      </w:r>
      <w:r w:rsidR="511FC499">
        <w:t>M</w:t>
      </w:r>
      <w:r>
        <w:t xml:space="preserve">B. </w:t>
      </w:r>
      <w:r w:rsidR="511FC499">
        <w:t xml:space="preserve">RSV </w:t>
      </w:r>
      <w:proofErr w:type="spellStart"/>
      <w:r w:rsidR="511FC499">
        <w:t>PreF</w:t>
      </w:r>
      <w:proofErr w:type="spellEnd"/>
      <w:r>
        <w:t xml:space="preserve"> features include </w:t>
      </w:r>
      <w:r w:rsidRPr="3408D3C1">
        <w:rPr>
          <w:b/>
          <w:bCs/>
        </w:rPr>
        <w:t xml:space="preserve">(F) </w:t>
      </w:r>
      <w:r w:rsidR="511FC499">
        <w:t>ADCP in CB</w:t>
      </w:r>
      <w:r>
        <w:t xml:space="preserve">, </w:t>
      </w:r>
      <w:r w:rsidRPr="3408D3C1">
        <w:rPr>
          <w:b/>
          <w:bCs/>
        </w:rPr>
        <w:t>(G)</w:t>
      </w:r>
      <w:r>
        <w:t xml:space="preserve"> </w:t>
      </w:r>
      <w:r w:rsidR="511FC499">
        <w:t>estradiol</w:t>
      </w:r>
      <w:r>
        <w:t xml:space="preserve"> in </w:t>
      </w:r>
      <w:r w:rsidR="511FC499">
        <w:t>M</w:t>
      </w:r>
      <w:r>
        <w:t xml:space="preserve">B, </w:t>
      </w:r>
      <w:r w:rsidRPr="3408D3C1">
        <w:rPr>
          <w:b/>
          <w:bCs/>
        </w:rPr>
        <w:t>(H)</w:t>
      </w:r>
      <w:r>
        <w:t xml:space="preserve"> </w:t>
      </w:r>
      <w:r w:rsidR="511FC499">
        <w:t>total IgG in CB</w:t>
      </w:r>
      <w:r>
        <w:t xml:space="preserve">, </w:t>
      </w:r>
      <w:r w:rsidRPr="3408D3C1">
        <w:rPr>
          <w:b/>
          <w:bCs/>
        </w:rPr>
        <w:t>(I)</w:t>
      </w:r>
      <w:r>
        <w:t xml:space="preserve"> </w:t>
      </w:r>
      <w:r w:rsidR="511FC499">
        <w:t>ADCP</w:t>
      </w:r>
      <w:r w:rsidR="4C89EE12">
        <w:t xml:space="preserve"> </w:t>
      </w:r>
      <w:r>
        <w:t xml:space="preserve">in </w:t>
      </w:r>
      <w:r w:rsidR="4C89EE12">
        <w:t>M</w:t>
      </w:r>
      <w:r>
        <w:t xml:space="preserve">B, </w:t>
      </w:r>
      <w:r w:rsidR="4D654F76">
        <w:t xml:space="preserve">and </w:t>
      </w:r>
      <w:r w:rsidRPr="3408D3C1">
        <w:rPr>
          <w:b/>
          <w:bCs/>
        </w:rPr>
        <w:t>(J)</w:t>
      </w:r>
      <w:r>
        <w:t xml:space="preserve"> </w:t>
      </w:r>
      <w:r w:rsidR="4C89EE12">
        <w:t>RSV Type A neutralizing antibody</w:t>
      </w:r>
      <w:r>
        <w:t xml:space="preserve"> in </w:t>
      </w:r>
      <w:r w:rsidR="4C89EE12">
        <w:t>C</w:t>
      </w:r>
      <w:r>
        <w:t>B</w:t>
      </w:r>
      <w:r w:rsidR="4D654F76">
        <w:t>.</w:t>
      </w:r>
      <w:r w:rsidRPr="3408D3C1">
        <w:rPr>
          <w:b/>
          <w:bCs/>
        </w:rPr>
        <w:t xml:space="preserve"> </w:t>
      </w:r>
      <w:r w:rsidR="21EDB1F3">
        <w:t xml:space="preserve">Red lines represent the median values of each group. </w:t>
      </w:r>
    </w:p>
    <w:p w14:paraId="43ED7054" w14:textId="77777777" w:rsidR="00A45079" w:rsidRDefault="00A45079" w:rsidP="00A45079"/>
    <w:p w14:paraId="715BB8BC" w14:textId="77777777" w:rsidR="00261F42" w:rsidRDefault="00261F42" w:rsidP="00A45079"/>
    <w:p w14:paraId="14F15A41" w14:textId="77777777" w:rsidR="00261F42" w:rsidRDefault="00261F42" w:rsidP="00A45079"/>
    <w:p w14:paraId="671A4C85" w14:textId="77777777" w:rsidR="00261F42" w:rsidRDefault="00261F42" w:rsidP="00A45079"/>
    <w:p w14:paraId="6610FCD4" w14:textId="04366883" w:rsidR="00261F42" w:rsidRPr="00A45079" w:rsidRDefault="003767E0" w:rsidP="00261F42">
      <w:pPr>
        <w:jc w:val="center"/>
      </w:pPr>
      <w:r w:rsidRPr="003767E0">
        <w:rPr>
          <w:noProof/>
        </w:rPr>
        <w:lastRenderedPageBreak/>
        <w:t xml:space="preserve"> </w:t>
      </w:r>
      <w:r w:rsidR="00154A46" w:rsidRPr="00154A46">
        <w:rPr>
          <w:noProof/>
        </w:rPr>
        <w:drawing>
          <wp:inline distT="0" distB="0" distL="0" distR="0" wp14:anchorId="36540EE8" wp14:editId="0DA1F46E">
            <wp:extent cx="6858000" cy="3236595"/>
            <wp:effectExtent l="0" t="0" r="0" b="0"/>
            <wp:docPr id="493294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94232" name=""/>
                    <pic:cNvPicPr/>
                  </pic:nvPicPr>
                  <pic:blipFill>
                    <a:blip r:embed="rId13"/>
                    <a:stretch>
                      <a:fillRect/>
                    </a:stretch>
                  </pic:blipFill>
                  <pic:spPr>
                    <a:xfrm>
                      <a:off x="0" y="0"/>
                      <a:ext cx="6858000" cy="3236595"/>
                    </a:xfrm>
                    <a:prstGeom prst="rect">
                      <a:avLst/>
                    </a:prstGeom>
                  </pic:spPr>
                </pic:pic>
              </a:graphicData>
            </a:graphic>
          </wp:inline>
        </w:drawing>
      </w:r>
    </w:p>
    <w:p w14:paraId="1CDB1168" w14:textId="59E73C12" w:rsidR="00985F7B" w:rsidRDefault="00082259">
      <w:r w:rsidRPr="00A45079">
        <w:rPr>
          <w:b/>
          <w:bCs/>
        </w:rPr>
        <w:t xml:space="preserve">Supplemental </w:t>
      </w:r>
      <w:r>
        <w:rPr>
          <w:b/>
          <w:bCs/>
        </w:rPr>
        <w:t>Table</w:t>
      </w:r>
      <w:r w:rsidRPr="00A45079">
        <w:rPr>
          <w:b/>
          <w:bCs/>
        </w:rPr>
        <w:t xml:space="preserve"> </w:t>
      </w:r>
      <w:r w:rsidR="00D9424A">
        <w:rPr>
          <w:b/>
          <w:bCs/>
        </w:rPr>
        <w:t>1</w:t>
      </w:r>
      <w:r w:rsidRPr="00A45079">
        <w:rPr>
          <w:b/>
          <w:bCs/>
        </w:rPr>
        <w:t>.</w:t>
      </w:r>
      <w:r w:rsidR="00200CF1">
        <w:rPr>
          <w:b/>
          <w:bCs/>
        </w:rPr>
        <w:t xml:space="preserve"> </w:t>
      </w:r>
      <w:r w:rsidR="00200CF1">
        <w:t>Antibody used for flow cytometry.</w:t>
      </w:r>
    </w:p>
    <w:p w14:paraId="16F861F9" w14:textId="77777777" w:rsidR="00985F7B" w:rsidRDefault="00985F7B">
      <w:r>
        <w:br w:type="page"/>
      </w:r>
    </w:p>
    <w:p w14:paraId="327BFEB5" w14:textId="781B4D48" w:rsidR="00A45079" w:rsidRPr="00C27F0F" w:rsidRDefault="00985F7B" w:rsidP="00FF26A4">
      <w:pPr>
        <w:rPr>
          <w:b/>
          <w:bCs/>
        </w:rPr>
      </w:pPr>
      <w:r w:rsidRPr="00C27F0F">
        <w:rPr>
          <w:b/>
          <w:bCs/>
        </w:rPr>
        <w:lastRenderedPageBreak/>
        <w:t>Supplem</w:t>
      </w:r>
      <w:r w:rsidR="00C27F0F" w:rsidRPr="00C27F0F">
        <w:rPr>
          <w:b/>
          <w:bCs/>
        </w:rPr>
        <w:t>ental Methods</w:t>
      </w:r>
    </w:p>
    <w:p w14:paraId="45F8EC33" w14:textId="77777777" w:rsidR="00C27F0F" w:rsidRPr="00A77F06" w:rsidRDefault="00C27F0F" w:rsidP="00FF26A4">
      <w:pPr>
        <w:spacing w:before="240" w:after="100" w:line="480" w:lineRule="auto"/>
        <w:rPr>
          <w:rFonts w:ascii="Aptos" w:hAnsi="Aptos" w:cstheme="minorHAnsi"/>
        </w:rPr>
      </w:pPr>
      <w:r w:rsidRPr="00A77F06">
        <w:rPr>
          <w:rFonts w:ascii="Aptos" w:hAnsi="Aptos" w:cstheme="minorHAnsi"/>
          <w:b/>
          <w:bCs/>
          <w:i/>
          <w:iCs/>
        </w:rPr>
        <w:t>Luminex Antigen-Bead Coupling</w:t>
      </w:r>
    </w:p>
    <w:p w14:paraId="798A3F4F" w14:textId="77777777" w:rsidR="00C27F0F" w:rsidRPr="00A77F06" w:rsidRDefault="00C27F0F" w:rsidP="00FF26A4">
      <w:pPr>
        <w:spacing w:line="480" w:lineRule="auto"/>
        <w:rPr>
          <w:rFonts w:ascii="Aptos" w:hAnsi="Aptos" w:cstheme="minorHAnsi"/>
        </w:rPr>
      </w:pPr>
      <w:r w:rsidRPr="00A77F06">
        <w:rPr>
          <w:rFonts w:ascii="Aptos" w:hAnsi="Aptos" w:cstheme="minorHAnsi"/>
        </w:rPr>
        <w:t>Antigens were covalently coupled to distinct Luminex MagPlex bead regions via carboxylate modification. Antigens included RSV Pre-F (</w:t>
      </w:r>
      <w:proofErr w:type="spellStart"/>
      <w:r w:rsidRPr="00A77F06">
        <w:rPr>
          <w:rFonts w:ascii="Aptos" w:hAnsi="Aptos" w:cstheme="minorHAnsi"/>
        </w:rPr>
        <w:t>Eenzyme</w:t>
      </w:r>
      <w:proofErr w:type="spellEnd"/>
      <w:r w:rsidRPr="00A77F06">
        <w:rPr>
          <w:rFonts w:ascii="Aptos" w:hAnsi="Aptos" w:cstheme="minorHAnsi"/>
        </w:rPr>
        <w:t xml:space="preserve"> #RSV-F0-30p), RSV G-Type A (</w:t>
      </w:r>
      <w:proofErr w:type="spellStart"/>
      <w:r w:rsidRPr="00A77F06">
        <w:rPr>
          <w:rFonts w:ascii="Aptos" w:hAnsi="Aptos" w:cstheme="minorHAnsi"/>
        </w:rPr>
        <w:t>Eenzyme</w:t>
      </w:r>
      <w:proofErr w:type="spellEnd"/>
      <w:r w:rsidRPr="00A77F06">
        <w:rPr>
          <w:rFonts w:ascii="Aptos" w:hAnsi="Aptos" w:cstheme="minorHAnsi"/>
        </w:rPr>
        <w:t xml:space="preserve"> #RSV-GP-10Ap), RSV G-Type B (</w:t>
      </w:r>
      <w:proofErr w:type="spellStart"/>
      <w:r w:rsidRPr="00A77F06">
        <w:rPr>
          <w:rFonts w:ascii="Aptos" w:hAnsi="Aptos" w:cstheme="minorHAnsi"/>
        </w:rPr>
        <w:t>Eenzyme</w:t>
      </w:r>
      <w:proofErr w:type="spellEnd"/>
      <w:r w:rsidRPr="00A77F06">
        <w:rPr>
          <w:rFonts w:ascii="Aptos" w:hAnsi="Aptos" w:cstheme="minorHAnsi"/>
        </w:rPr>
        <w:t xml:space="preserve"> #RSV-GP-30Bp)</w:t>
      </w:r>
      <w:r>
        <w:rPr>
          <w:rFonts w:ascii="Aptos" w:hAnsi="Aptos" w:cstheme="minorHAnsi"/>
        </w:rPr>
        <w:t xml:space="preserve"> </w:t>
      </w:r>
      <w:r w:rsidRPr="00A77F06">
        <w:rPr>
          <w:rFonts w:ascii="Aptos" w:hAnsi="Aptos" w:cstheme="minorHAnsi"/>
        </w:rPr>
        <w:t>and Influenza A H1 protein (</w:t>
      </w:r>
      <w:proofErr w:type="spellStart"/>
      <w:r w:rsidRPr="00A77F06">
        <w:rPr>
          <w:rFonts w:ascii="Aptos" w:hAnsi="Aptos" w:cstheme="minorHAnsi"/>
        </w:rPr>
        <w:t>Eenzyme</w:t>
      </w:r>
      <w:proofErr w:type="spellEnd"/>
      <w:r w:rsidRPr="00A77F06">
        <w:rPr>
          <w:rFonts w:ascii="Aptos" w:hAnsi="Aptos" w:cstheme="minorHAnsi"/>
        </w:rPr>
        <w:t xml:space="preserve"> #IA-H1-V19WP). Beads were activated using activation buffer (0.1 M NaH2PO4, pH 6.2) supplemented with 50 mg/mL EDC and 50 mg/mL Sulfo-NHS. Activated beads were coupled to 25 µg of antigen in coupling buffer (0.05 M MES, pH 5.0), blocked with PBS containing 0.1% BSA, 0.02% Tween-20, and 0.05% sodium azide (pH 7.4), and washed with PBS containing 0.05% Tween-20. Beads were stored at 4°C in PBS until use.</w:t>
      </w:r>
    </w:p>
    <w:p w14:paraId="47ABB149" w14:textId="77777777" w:rsidR="00C27F0F" w:rsidRPr="00A77F06" w:rsidRDefault="00C27F0F" w:rsidP="00FF26A4">
      <w:pPr>
        <w:spacing w:before="240" w:after="100" w:line="480" w:lineRule="auto"/>
        <w:rPr>
          <w:rFonts w:ascii="Aptos" w:hAnsi="Aptos" w:cstheme="minorHAnsi"/>
        </w:rPr>
      </w:pPr>
      <w:r w:rsidRPr="00A77F06">
        <w:rPr>
          <w:rFonts w:ascii="Aptos" w:hAnsi="Aptos" w:cstheme="minorHAnsi"/>
          <w:b/>
          <w:bCs/>
          <w:i/>
          <w:iCs/>
        </w:rPr>
        <w:t>Luminex-Based Isotyping and Fc Receptor Binding</w:t>
      </w:r>
    </w:p>
    <w:p w14:paraId="20BD1377" w14:textId="77777777" w:rsidR="00C27F0F" w:rsidRPr="00A77F06" w:rsidRDefault="00C27F0F" w:rsidP="00FF26A4">
      <w:pPr>
        <w:spacing w:line="480" w:lineRule="auto"/>
        <w:rPr>
          <w:rFonts w:ascii="Aptos" w:hAnsi="Aptos" w:cstheme="minorHAnsi"/>
        </w:rPr>
      </w:pPr>
      <w:r w:rsidRPr="00A77F06">
        <w:rPr>
          <w:rFonts w:ascii="Aptos" w:hAnsi="Aptos" w:cstheme="minorHAnsi"/>
        </w:rPr>
        <w:t>Plasma samples (5 µL, diluted 1:25) were incubated with antigen-coupled bead solution (20 µL per bead region) in Luminex Assay Buffer (PBS, 0.1% BSA, 0.05% Tween-20) for 2 hours on a plate shaker. Plates were placed on a magnet and washed with Procartaplex Wash Buffer (Thermo Fisher). Isotype/subclass detection was performed using PE-conjugated secondary antibodies (Southern Biotech) targeting IgM, IgG (subclasses IgG1–4), and IgA (subclasses IgA1–2). For Fc receptor (</w:t>
      </w:r>
      <w:proofErr w:type="spellStart"/>
      <w:r w:rsidRPr="00A77F06">
        <w:rPr>
          <w:rFonts w:ascii="Aptos" w:hAnsi="Aptos" w:cstheme="minorHAnsi"/>
        </w:rPr>
        <w:t>FcR</w:t>
      </w:r>
      <w:proofErr w:type="spellEnd"/>
      <w:r w:rsidRPr="00A77F06">
        <w:rPr>
          <w:rFonts w:ascii="Aptos" w:hAnsi="Aptos" w:cstheme="minorHAnsi"/>
        </w:rPr>
        <w:t xml:space="preserve">) profiling, recombinant </w:t>
      </w:r>
      <w:proofErr w:type="spellStart"/>
      <w:r w:rsidRPr="00A77F06">
        <w:rPr>
          <w:rFonts w:ascii="Aptos" w:hAnsi="Aptos" w:cstheme="minorHAnsi"/>
        </w:rPr>
        <w:t>FcR</w:t>
      </w:r>
      <w:proofErr w:type="spellEnd"/>
      <w:r w:rsidRPr="00A77F06">
        <w:rPr>
          <w:rFonts w:ascii="Aptos" w:hAnsi="Aptos" w:cstheme="minorHAnsi"/>
        </w:rPr>
        <w:t xml:space="preserve"> proteins (Duke Vaccine Institute Protein Production Facility) were biotinylated using a BirA biotin-ligation kit (Avidity) and conjugated to PE-Streptavidin (BioLegend) for 15 minutes on a rotor prior to use. </w:t>
      </w:r>
      <w:proofErr w:type="spellStart"/>
      <w:r w:rsidRPr="00A77F06">
        <w:rPr>
          <w:rFonts w:ascii="Aptos" w:hAnsi="Aptos" w:cstheme="minorHAnsi"/>
        </w:rPr>
        <w:t>FcRs</w:t>
      </w:r>
      <w:proofErr w:type="spellEnd"/>
      <w:r w:rsidRPr="00A77F06">
        <w:rPr>
          <w:rFonts w:ascii="Aptos" w:hAnsi="Aptos" w:cstheme="minorHAnsi"/>
        </w:rPr>
        <w:t xml:space="preserve"> assessed included </w:t>
      </w:r>
      <w:proofErr w:type="spellStart"/>
      <w:r w:rsidRPr="00A77F06">
        <w:rPr>
          <w:rFonts w:ascii="Aptos" w:hAnsi="Aptos" w:cstheme="minorHAnsi"/>
        </w:rPr>
        <w:t>FcγRIIAR</w:t>
      </w:r>
      <w:proofErr w:type="spellEnd"/>
      <w:r w:rsidRPr="00A77F06">
        <w:rPr>
          <w:rFonts w:ascii="Aptos" w:hAnsi="Aptos" w:cstheme="minorHAnsi"/>
        </w:rPr>
        <w:t xml:space="preserve">, </w:t>
      </w:r>
      <w:proofErr w:type="spellStart"/>
      <w:r w:rsidRPr="00A77F06">
        <w:rPr>
          <w:rFonts w:ascii="Aptos" w:hAnsi="Aptos" w:cstheme="minorHAnsi"/>
        </w:rPr>
        <w:t>FcγRIIB</w:t>
      </w:r>
      <w:proofErr w:type="spellEnd"/>
      <w:r w:rsidRPr="00A77F06">
        <w:rPr>
          <w:rFonts w:ascii="Aptos" w:hAnsi="Aptos" w:cstheme="minorHAnsi"/>
        </w:rPr>
        <w:t xml:space="preserve">, </w:t>
      </w:r>
      <w:proofErr w:type="spellStart"/>
      <w:r w:rsidRPr="00A77F06">
        <w:rPr>
          <w:rFonts w:ascii="Aptos" w:hAnsi="Aptos" w:cstheme="minorHAnsi"/>
        </w:rPr>
        <w:t>FcγRIIIA</w:t>
      </w:r>
      <w:proofErr w:type="spellEnd"/>
      <w:r w:rsidRPr="00A77F06">
        <w:rPr>
          <w:rFonts w:ascii="Aptos" w:hAnsi="Aptos" w:cstheme="minorHAnsi"/>
        </w:rPr>
        <w:t xml:space="preserve">-V, </w:t>
      </w:r>
      <w:proofErr w:type="spellStart"/>
      <w:r w:rsidRPr="00A77F06">
        <w:rPr>
          <w:rFonts w:ascii="Aptos" w:hAnsi="Aptos" w:cstheme="minorHAnsi"/>
        </w:rPr>
        <w:t>FcγRIIIAF</w:t>
      </w:r>
      <w:proofErr w:type="spellEnd"/>
      <w:r w:rsidRPr="00A77F06">
        <w:rPr>
          <w:rFonts w:ascii="Aptos" w:hAnsi="Aptos" w:cstheme="minorHAnsi"/>
        </w:rPr>
        <w:t xml:space="preserve">, </w:t>
      </w:r>
      <w:proofErr w:type="spellStart"/>
      <w:r w:rsidRPr="00A77F06">
        <w:rPr>
          <w:rFonts w:ascii="Aptos" w:hAnsi="Aptos" w:cstheme="minorHAnsi"/>
        </w:rPr>
        <w:t>FcγRIIIB</w:t>
      </w:r>
      <w:proofErr w:type="spellEnd"/>
      <w:r w:rsidRPr="00A77F06">
        <w:rPr>
          <w:rFonts w:ascii="Aptos" w:hAnsi="Aptos" w:cstheme="minorHAnsi"/>
        </w:rPr>
        <w:t>, FcRn, and FcαR. Mean fluorescence intensity (MFI) was measured on a Luminex Intelliflex (FlexMap 3D instrument, low PMT; doublet discrimination range 7,000–17,000; minimum 100 events per antigen). PBS served as a negative control, and positive controls were included in each run to ensure assay integrity.</w:t>
      </w:r>
    </w:p>
    <w:p w14:paraId="10A07CD2" w14:textId="77777777" w:rsidR="00C27F0F" w:rsidRPr="00A77F06" w:rsidRDefault="00C27F0F" w:rsidP="00FF26A4">
      <w:pPr>
        <w:spacing w:before="240" w:after="100" w:line="480" w:lineRule="auto"/>
        <w:rPr>
          <w:rFonts w:ascii="Aptos" w:hAnsi="Aptos" w:cstheme="minorHAnsi"/>
        </w:rPr>
      </w:pPr>
      <w:r w:rsidRPr="00A77F06">
        <w:rPr>
          <w:rFonts w:ascii="Aptos" w:hAnsi="Aptos" w:cstheme="minorHAnsi"/>
          <w:b/>
          <w:bCs/>
          <w:i/>
          <w:iCs/>
        </w:rPr>
        <w:t>Antibody-Dependent Complement Deposition (ADCD)</w:t>
      </w:r>
    </w:p>
    <w:p w14:paraId="77E14DCA" w14:textId="77777777" w:rsidR="00C27F0F" w:rsidRPr="00A77F06" w:rsidRDefault="00C27F0F" w:rsidP="00FF26A4">
      <w:pPr>
        <w:spacing w:line="480" w:lineRule="auto"/>
        <w:rPr>
          <w:rFonts w:ascii="Aptos" w:hAnsi="Aptos" w:cstheme="minorHAnsi"/>
        </w:rPr>
      </w:pPr>
      <w:r w:rsidRPr="00A77F06">
        <w:rPr>
          <w:rFonts w:ascii="Aptos" w:hAnsi="Aptos" w:cstheme="minorHAnsi"/>
        </w:rPr>
        <w:lastRenderedPageBreak/>
        <w:t>Biotinylated antigen-coated beads were incubated with serum samples (1:25) to form immune complexes, then washed three times with 1% BSA. Lyophilized Low-Tox Guinea Pig Complement (Cedarlane) was reconstituted in ice-cold dH2O, diluted 1:25 in GVB++ (Gelatin Veronal buffer with Mg</w:t>
      </w:r>
      <w:r w:rsidRPr="00A77F06">
        <w:rPr>
          <w:rFonts w:ascii="Aptos" w:hAnsi="Aptos" w:cstheme="minorHAnsi"/>
          <w:vertAlign w:val="superscript"/>
        </w:rPr>
        <w:t>2+</w:t>
      </w:r>
      <w:r w:rsidRPr="00A77F06">
        <w:rPr>
          <w:rFonts w:ascii="Aptos" w:hAnsi="Aptos" w:cstheme="minorHAnsi"/>
        </w:rPr>
        <w:t xml:space="preserve"> and Ca</w:t>
      </w:r>
      <w:r w:rsidRPr="00A77F06">
        <w:rPr>
          <w:rFonts w:ascii="Aptos" w:hAnsi="Aptos" w:cstheme="minorHAnsi"/>
          <w:vertAlign w:val="superscript"/>
        </w:rPr>
        <w:t>2+</w:t>
      </w:r>
      <w:r w:rsidRPr="00A77F06">
        <w:rPr>
          <w:rFonts w:ascii="Aptos" w:hAnsi="Aptos" w:cstheme="minorHAnsi"/>
        </w:rPr>
        <w:t xml:space="preserve">; Boston Bio), and added to each well for incubation at 37°C. Complement deposition was detected using goat anti-guinea pig C3 IgG (1:500; MP Biomedicals) followed by donkey anti-goat IgG-PE secondary antibody (1:200; Thermo Fisher). Beads were resuspended and acquired on the Luminex Intelliflex as described above. Antigens included RSV Pre-F and H1. </w:t>
      </w:r>
    </w:p>
    <w:p w14:paraId="197245DB" w14:textId="77777777" w:rsidR="00C27F0F" w:rsidRPr="00A77F06" w:rsidRDefault="00C27F0F" w:rsidP="00FF26A4">
      <w:pPr>
        <w:spacing w:before="240" w:after="100" w:line="480" w:lineRule="auto"/>
        <w:rPr>
          <w:rFonts w:ascii="Aptos" w:hAnsi="Aptos" w:cstheme="minorHAnsi"/>
          <w:sz w:val="20"/>
          <w:szCs w:val="20"/>
        </w:rPr>
      </w:pPr>
      <w:r w:rsidRPr="00A77F06">
        <w:rPr>
          <w:rFonts w:ascii="Aptos" w:hAnsi="Aptos" w:cstheme="minorHAnsi"/>
          <w:b/>
          <w:bCs/>
          <w:i/>
          <w:iCs/>
        </w:rPr>
        <w:t>Multiplexed Non-Neutralizing Antibody Assay</w:t>
      </w:r>
    </w:p>
    <w:p w14:paraId="4FEEA59E" w14:textId="77777777" w:rsidR="00C27F0F" w:rsidRPr="00A77F06" w:rsidRDefault="00C27F0F" w:rsidP="00FF26A4">
      <w:pPr>
        <w:spacing w:line="480" w:lineRule="auto"/>
        <w:rPr>
          <w:rFonts w:ascii="Aptos" w:hAnsi="Aptos" w:cstheme="minorHAnsi"/>
        </w:rPr>
      </w:pPr>
      <w:r w:rsidRPr="00A77F06">
        <w:rPr>
          <w:rFonts w:ascii="Aptos" w:hAnsi="Aptos" w:cstheme="minorHAnsi"/>
        </w:rPr>
        <w:t xml:space="preserve">A multiplex assay was performed to evaluate antigen-specific non-neutralizing antibody functions mediated through </w:t>
      </w:r>
      <w:proofErr w:type="spellStart"/>
      <w:r w:rsidRPr="00A77F06">
        <w:rPr>
          <w:rFonts w:ascii="Aptos" w:hAnsi="Aptos" w:cstheme="minorHAnsi"/>
        </w:rPr>
        <w:t>FcR</w:t>
      </w:r>
      <w:proofErr w:type="spellEnd"/>
      <w:r w:rsidRPr="00A77F06">
        <w:rPr>
          <w:rFonts w:ascii="Aptos" w:hAnsi="Aptos" w:cstheme="minorHAnsi"/>
        </w:rPr>
        <w:t xml:space="preserve"> activity across innate immune cell populations, including natural killer (NK) cells, monocytes, and neutrophils. Biotinylated antigen was generated using a 20-fold molar excess of biotin reagent and purified using spin columns to remove unbound biotin. The biotinylated antigen was coupled to fluorescent neutravidin-coated beads by incubation overnight at 4°C, followed by washing and resuspension in PBS containing 0.1% BSA. Serum samples were thawed and diluted 1:100 in PBS, then incubated with antigen-coated beads for 2 hours at 37°C to allow immune complex formation. </w:t>
      </w:r>
      <w:r>
        <w:rPr>
          <w:rFonts w:ascii="Aptos" w:hAnsi="Aptos" w:cstheme="minorHAnsi"/>
        </w:rPr>
        <w:t>Fresh w</w:t>
      </w:r>
      <w:r w:rsidRPr="00A77F06">
        <w:rPr>
          <w:rFonts w:ascii="Aptos" w:hAnsi="Aptos" w:cstheme="minorHAnsi"/>
        </w:rPr>
        <w:t xml:space="preserve">hole blood–derived leukocytes were isolated from donor </w:t>
      </w:r>
      <w:proofErr w:type="spellStart"/>
      <w:r w:rsidRPr="00A77F06">
        <w:rPr>
          <w:rFonts w:ascii="Aptos" w:hAnsi="Aptos" w:cstheme="minorHAnsi"/>
        </w:rPr>
        <w:t>leukopaks</w:t>
      </w:r>
      <w:proofErr w:type="spellEnd"/>
      <w:r w:rsidRPr="00A77F06">
        <w:rPr>
          <w:rFonts w:ascii="Aptos" w:hAnsi="Aptos" w:cstheme="minorHAnsi"/>
        </w:rPr>
        <w:t xml:space="preserve"> using ammonium chloride lysis, washed, and resuspended in RPMI supplemented with 10% fetal bovine serum and 1% penicillin-streptomycin (R10 Media). Cells were counted, adjusted to 1.5 × 10⁶ cells/mL, and stimulated overnight with IL-15 (1 ng/mL) at 37°C. Following immune complex formation, beads were washed and incubated with effector cells at a density of 1 × 10⁵ cells per well. An inhibitor cocktail containing anti-CD107a and Golgi transport inhibitor was added, and plates were incubated for 5 hours at 37°C. Cells were then stained for extracellular markers to identify NK cells (CD3</w:t>
      </w:r>
      <w:r w:rsidRPr="00A77F06">
        <w:rPr>
          <w:rFonts w:ascii="Cambria Math" w:hAnsi="Cambria Math" w:cs="Cambria Math"/>
        </w:rPr>
        <w:t>⁻</w:t>
      </w:r>
      <w:r w:rsidRPr="00A77F06">
        <w:rPr>
          <w:rFonts w:ascii="Aptos" w:hAnsi="Aptos" w:cstheme="minorHAnsi"/>
        </w:rPr>
        <w:t>CD56</w:t>
      </w:r>
      <w:r w:rsidRPr="00A77F06">
        <w:rPr>
          <w:rFonts w:ascii="Cambria Math" w:hAnsi="Cambria Math" w:cs="Cambria Math"/>
        </w:rPr>
        <w:t>⁺</w:t>
      </w:r>
      <w:r w:rsidRPr="00A77F06">
        <w:rPr>
          <w:rFonts w:ascii="Aptos" w:hAnsi="Aptos" w:cstheme="minorHAnsi"/>
        </w:rPr>
        <w:t>), neutrophils (CD66b</w:t>
      </w:r>
      <w:r w:rsidRPr="00A77F06">
        <w:rPr>
          <w:rFonts w:ascii="Cambria Math" w:hAnsi="Cambria Math" w:cs="Cambria Math"/>
        </w:rPr>
        <w:t>⁺</w:t>
      </w:r>
      <w:r w:rsidRPr="00A77F06">
        <w:rPr>
          <w:rFonts w:ascii="Aptos" w:hAnsi="Aptos" w:cstheme="minorHAnsi"/>
        </w:rPr>
        <w:t>), and monocytes (CD14</w:t>
      </w:r>
      <w:r w:rsidRPr="00A77F06">
        <w:rPr>
          <w:rFonts w:ascii="Cambria Math" w:hAnsi="Cambria Math" w:cs="Cambria Math"/>
        </w:rPr>
        <w:t>⁺</w:t>
      </w:r>
      <w:r w:rsidRPr="00A77F06">
        <w:rPr>
          <w:rFonts w:ascii="Aptos" w:hAnsi="Aptos" w:cstheme="minorHAnsi"/>
        </w:rPr>
        <w:t xml:space="preserve">), as well as Fc receptors (CD16 and CD32). Following surface staining, cells were fixed, permeabilized, and stained intracellularly for cytokines. NK cell function was assessed by degranulation </w:t>
      </w:r>
      <w:r w:rsidRPr="00A77F06">
        <w:rPr>
          <w:rFonts w:ascii="Aptos" w:hAnsi="Aptos" w:cstheme="minorHAnsi"/>
        </w:rPr>
        <w:lastRenderedPageBreak/>
        <w:t>(CD107a) and intracellular cytokine production (</w:t>
      </w:r>
      <w:proofErr w:type="spellStart"/>
      <w:r w:rsidRPr="00A77F06">
        <w:rPr>
          <w:rFonts w:ascii="Aptos" w:hAnsi="Aptos" w:cstheme="minorHAnsi"/>
        </w:rPr>
        <w:t>IFNγ</w:t>
      </w:r>
      <w:proofErr w:type="spellEnd"/>
      <w:r>
        <w:rPr>
          <w:rFonts w:ascii="Aptos" w:hAnsi="Aptos" w:cstheme="minorHAnsi"/>
        </w:rPr>
        <w:t>)</w:t>
      </w:r>
      <w:r w:rsidRPr="00A77F06">
        <w:rPr>
          <w:rFonts w:ascii="Aptos" w:hAnsi="Aptos" w:cstheme="minorHAnsi"/>
        </w:rPr>
        <w:t xml:space="preserve"> Phagocytic activity in neutrophils and monocytes was quantified based on bead uptake (bead</w:t>
      </w:r>
      <w:r w:rsidRPr="00A77F06">
        <w:rPr>
          <w:rFonts w:ascii="Cambria Math" w:hAnsi="Cambria Math" w:cs="Cambria Math"/>
        </w:rPr>
        <w:t>⁺</w:t>
      </w:r>
      <w:r w:rsidRPr="00A77F06">
        <w:rPr>
          <w:rFonts w:ascii="Aptos" w:hAnsi="Aptos" w:cstheme="minorHAnsi"/>
        </w:rPr>
        <w:t xml:space="preserve"> cells). Samples were acquired on an BD Symphony A3 flow cytometer, and functional responses were analyzed within Fc receptor–expressing (CD16</w:t>
      </w:r>
      <w:r w:rsidRPr="00A77F06">
        <w:rPr>
          <w:rFonts w:ascii="Cambria Math" w:hAnsi="Cambria Math" w:cs="Cambria Math"/>
        </w:rPr>
        <w:t>⁺</w:t>
      </w:r>
      <w:r w:rsidRPr="00A77F06">
        <w:rPr>
          <w:rFonts w:ascii="Aptos" w:hAnsi="Aptos" w:cstheme="minorHAnsi"/>
        </w:rPr>
        <w:t xml:space="preserve"> and/or CD32</w:t>
      </w:r>
      <w:r w:rsidRPr="00A77F06">
        <w:rPr>
          <w:rFonts w:ascii="Cambria Math" w:hAnsi="Cambria Math" w:cs="Cambria Math"/>
        </w:rPr>
        <w:t>⁺</w:t>
      </w:r>
      <w:r w:rsidRPr="00A77F06">
        <w:rPr>
          <w:rFonts w:ascii="Aptos" w:hAnsi="Aptos" w:cstheme="minorHAnsi"/>
        </w:rPr>
        <w:t>) populations</w:t>
      </w:r>
    </w:p>
    <w:p w14:paraId="11548E0B" w14:textId="77777777" w:rsidR="00C27F0F" w:rsidRPr="00A77F06" w:rsidRDefault="00C27F0F" w:rsidP="00FF26A4">
      <w:pPr>
        <w:spacing w:before="240" w:after="100" w:line="480" w:lineRule="auto"/>
        <w:rPr>
          <w:rFonts w:ascii="Aptos" w:hAnsi="Aptos" w:cstheme="minorHAnsi"/>
        </w:rPr>
      </w:pPr>
      <w:proofErr w:type="spellStart"/>
      <w:r>
        <w:rPr>
          <w:rFonts w:ascii="Aptos" w:hAnsi="Aptos" w:cstheme="minorHAnsi"/>
          <w:b/>
          <w:bCs/>
          <w:i/>
          <w:iCs/>
        </w:rPr>
        <w:t>Singleplex</w:t>
      </w:r>
      <w:proofErr w:type="spellEnd"/>
      <w:r>
        <w:rPr>
          <w:rFonts w:ascii="Aptos" w:hAnsi="Aptos" w:cstheme="minorHAnsi"/>
          <w:b/>
          <w:bCs/>
          <w:i/>
          <w:iCs/>
        </w:rPr>
        <w:t xml:space="preserve"> </w:t>
      </w:r>
      <w:r w:rsidRPr="00A77F06">
        <w:rPr>
          <w:rFonts w:ascii="Aptos" w:hAnsi="Aptos" w:cstheme="minorHAnsi"/>
          <w:b/>
          <w:bCs/>
          <w:i/>
          <w:iCs/>
        </w:rPr>
        <w:t>Antibody-Dependent NK Cell Activation (ADNK)</w:t>
      </w:r>
    </w:p>
    <w:p w14:paraId="73DA0832" w14:textId="77777777" w:rsidR="00C27F0F" w:rsidRPr="00A77F06" w:rsidRDefault="00C27F0F" w:rsidP="00FF26A4">
      <w:pPr>
        <w:spacing w:line="480" w:lineRule="auto"/>
        <w:rPr>
          <w:rFonts w:ascii="Aptos" w:hAnsi="Aptos" w:cstheme="minorHAnsi"/>
        </w:rPr>
      </w:pPr>
      <w:r w:rsidRPr="00A77F06">
        <w:rPr>
          <w:rFonts w:ascii="Aptos" w:hAnsi="Aptos" w:cstheme="minorHAnsi"/>
        </w:rPr>
        <w:t xml:space="preserve">Peripheral blood mononuclear cells (PBMCs) were isolated by density gradient centrifugation using </w:t>
      </w:r>
      <w:proofErr w:type="spellStart"/>
      <w:r w:rsidRPr="00A77F06">
        <w:rPr>
          <w:rFonts w:ascii="Aptos" w:hAnsi="Aptos" w:cstheme="minorHAnsi"/>
        </w:rPr>
        <w:t>Ficoll</w:t>
      </w:r>
      <w:proofErr w:type="spellEnd"/>
      <w:r w:rsidRPr="00A77F06">
        <w:rPr>
          <w:rFonts w:ascii="Aptos" w:hAnsi="Aptos" w:cstheme="minorHAnsi"/>
        </w:rPr>
        <w:t xml:space="preserve">-Paque (GE Healthcare). NK cells were enriched using the </w:t>
      </w:r>
      <w:proofErr w:type="spellStart"/>
      <w:r w:rsidRPr="00A77F06">
        <w:rPr>
          <w:rFonts w:ascii="Aptos" w:hAnsi="Aptos" w:cstheme="minorHAnsi"/>
        </w:rPr>
        <w:t>MagniSort</w:t>
      </w:r>
      <w:proofErr w:type="spellEnd"/>
      <w:r w:rsidRPr="00A77F06">
        <w:rPr>
          <w:rFonts w:ascii="Aptos" w:hAnsi="Aptos" w:cstheme="minorHAnsi"/>
        </w:rPr>
        <w:t xml:space="preserve"> Human NK Cell Enrichment Kit (Thermo Fisher Scientific) per manufacturer's instructions and resuspended at 1.5 × 10⁶ cells/mL in R10 medium (RPMI 1640, 10% FBS, 1% penicillin-streptomycin, 2 mM L-glutamine). NK cells were rested overnight at 37°C with 1 ng/mL IL-15 (Abcam). ELISA plates were coated overnight at 4°C with 3 µg/mL biotinylated antigen-bead solution (RSV Pre-F and H1N1 HA), blocked with 5% BSA, and washed. Serum samples (1:100 in R10) were added to antigen-coated wells to allow immune complex formation. An inhibitor cocktail (CD107a-PeCy5 [BD Biosciences], brefeldin A [Millipore Sigma], and Golgi Stop [BD Biosciences] in R10) was added to wells prior to the addition of 50,000 NK cells per well. Cells were incubated for 5 hours at 37°C. Following stimulation, cells were surface stained (CD3-Pacific Blue, CD56-PE-Cy7, CD16-APC-Cy7; BD Biosciences), fixed and permeabilized with Perm A (Thermo Fisher Scientific), and intracellularly stained for IFN-γ-APC, </w:t>
      </w:r>
      <w:r>
        <w:rPr>
          <w:rFonts w:ascii="Aptos" w:hAnsi="Aptos" w:cstheme="minorHAnsi"/>
        </w:rPr>
        <w:t>CCL4</w:t>
      </w:r>
      <w:r w:rsidRPr="00A77F06">
        <w:rPr>
          <w:rFonts w:ascii="Aptos" w:hAnsi="Aptos" w:cstheme="minorHAnsi"/>
        </w:rPr>
        <w:t>-PE (BD Biosciences), and Perm B (Thermo Fisher Scientific). Samples were acquired on a BD Symphony A3 flow cytometer (Bloomberg Flow Cytometry and Immunology Core). NK cells were gated as CD3</w:t>
      </w:r>
      <w:r w:rsidRPr="00A77F06">
        <w:rPr>
          <w:rFonts w:ascii="Cambria Math" w:hAnsi="Cambria Math" w:cs="Cambria Math"/>
        </w:rPr>
        <w:t>⁻</w:t>
      </w:r>
      <w:r w:rsidRPr="00A77F06">
        <w:rPr>
          <w:rFonts w:ascii="Aptos" w:hAnsi="Aptos" w:cstheme="minorHAnsi"/>
        </w:rPr>
        <w:t>CD16</w:t>
      </w:r>
      <w:r w:rsidRPr="00A77F06">
        <w:rPr>
          <w:rFonts w:ascii="Cambria Math" w:hAnsi="Cambria Math" w:cs="Cambria Math"/>
        </w:rPr>
        <w:t>⁺</w:t>
      </w:r>
      <w:r w:rsidRPr="00A77F06">
        <w:rPr>
          <w:rFonts w:ascii="Aptos" w:hAnsi="Aptos" w:cstheme="minorHAnsi"/>
        </w:rPr>
        <w:t>CD56</w:t>
      </w:r>
      <w:r w:rsidRPr="00A77F06">
        <w:rPr>
          <w:rFonts w:ascii="Cambria Math" w:hAnsi="Cambria Math" w:cs="Cambria Math"/>
        </w:rPr>
        <w:t>⁺</w:t>
      </w:r>
      <w:r w:rsidRPr="00A77F06">
        <w:rPr>
          <w:rFonts w:ascii="Aptos" w:hAnsi="Aptos" w:cstheme="minorHAnsi"/>
        </w:rPr>
        <w:t>, and functional readouts reported as frequencies of IFN-γ</w:t>
      </w:r>
      <w:r w:rsidRPr="00A77F06">
        <w:rPr>
          <w:rFonts w:ascii="Cambria Math" w:hAnsi="Cambria Math" w:cs="Cambria Math"/>
        </w:rPr>
        <w:t>⁺</w:t>
      </w:r>
      <w:r w:rsidRPr="00A77F06">
        <w:rPr>
          <w:rFonts w:ascii="Aptos" w:hAnsi="Aptos" w:cstheme="minorHAnsi"/>
        </w:rPr>
        <w:t>, CD107a</w:t>
      </w:r>
      <w:r w:rsidRPr="00A77F06">
        <w:rPr>
          <w:rFonts w:ascii="Cambria Math" w:hAnsi="Cambria Math" w:cs="Cambria Math"/>
        </w:rPr>
        <w:t>⁺</w:t>
      </w:r>
      <w:r w:rsidRPr="00A77F06">
        <w:rPr>
          <w:rFonts w:ascii="Aptos" w:hAnsi="Aptos" w:cstheme="minorHAnsi"/>
        </w:rPr>
        <w:t xml:space="preserve">, and </w:t>
      </w:r>
      <w:r>
        <w:rPr>
          <w:rFonts w:ascii="Aptos" w:hAnsi="Aptos" w:cstheme="minorHAnsi"/>
        </w:rPr>
        <w:t>CCL4</w:t>
      </w:r>
      <w:r w:rsidRPr="00A77F06">
        <w:rPr>
          <w:rFonts w:ascii="Cambria Math" w:hAnsi="Cambria Math" w:cs="Cambria Math"/>
        </w:rPr>
        <w:t>⁺</w:t>
      </w:r>
      <w:r w:rsidRPr="00A77F06">
        <w:rPr>
          <w:rFonts w:ascii="Aptos" w:hAnsi="Aptos" w:cstheme="minorHAnsi"/>
        </w:rPr>
        <w:t xml:space="preserve"> cells.</w:t>
      </w:r>
    </w:p>
    <w:p w14:paraId="0E795BF4" w14:textId="77777777" w:rsidR="00C27F0F" w:rsidRPr="00A77F06" w:rsidRDefault="00C27F0F" w:rsidP="00FF26A4">
      <w:pPr>
        <w:spacing w:before="240" w:after="100" w:line="480" w:lineRule="auto"/>
        <w:rPr>
          <w:rFonts w:ascii="Aptos" w:hAnsi="Aptos" w:cstheme="minorHAnsi"/>
        </w:rPr>
      </w:pPr>
      <w:proofErr w:type="spellStart"/>
      <w:r>
        <w:rPr>
          <w:rFonts w:ascii="Aptos" w:hAnsi="Aptos" w:cstheme="minorHAnsi"/>
          <w:b/>
          <w:bCs/>
          <w:i/>
          <w:iCs/>
        </w:rPr>
        <w:t>Singleplex</w:t>
      </w:r>
      <w:proofErr w:type="spellEnd"/>
      <w:r w:rsidRPr="00A77F06">
        <w:rPr>
          <w:rFonts w:ascii="Aptos" w:hAnsi="Aptos" w:cstheme="minorHAnsi"/>
          <w:b/>
          <w:bCs/>
          <w:i/>
          <w:iCs/>
        </w:rPr>
        <w:t xml:space="preserve"> Antibody-Dependent Cellular Phagocytosis (ADCP)</w:t>
      </w:r>
    </w:p>
    <w:p w14:paraId="60C967CB" w14:textId="77777777" w:rsidR="00C27F0F" w:rsidRPr="00A77F06" w:rsidRDefault="00C27F0F" w:rsidP="00FF26A4">
      <w:pPr>
        <w:spacing w:line="480" w:lineRule="auto"/>
        <w:rPr>
          <w:rFonts w:ascii="Aptos" w:hAnsi="Aptos" w:cstheme="minorHAnsi"/>
        </w:rPr>
      </w:pPr>
      <w:r w:rsidRPr="00A77F06">
        <w:rPr>
          <w:rFonts w:ascii="Aptos" w:hAnsi="Aptos" w:cstheme="minorHAnsi"/>
        </w:rPr>
        <w:t xml:space="preserve">Biotinylated antigen-coated beads were incubated with serum (1:150), washed with PBS, and centrifuged at 2,000 × g for 10 minutes. THP-1 monocytic cells (provided by Dr. Andrea Cox, Johns Hopkins School of </w:t>
      </w:r>
      <w:r w:rsidRPr="00A77F06">
        <w:rPr>
          <w:rFonts w:ascii="Aptos" w:hAnsi="Aptos" w:cstheme="minorHAnsi"/>
        </w:rPr>
        <w:lastRenderedPageBreak/>
        <w:t xml:space="preserve">Medicine) were plated at 25,000 cells/well in R10 and co-cultured with immune complexes overnight at 37°C. Cells were fixed with 4% paraformaldehyde (PFA), washed, and resuspended in PBS for acquisition on an Attune </w:t>
      </w:r>
      <w:proofErr w:type="spellStart"/>
      <w:r w:rsidRPr="00A77F06">
        <w:rPr>
          <w:rFonts w:ascii="Aptos" w:hAnsi="Aptos" w:cstheme="minorHAnsi"/>
        </w:rPr>
        <w:t>NxT</w:t>
      </w:r>
      <w:proofErr w:type="spellEnd"/>
      <w:r w:rsidRPr="00A77F06">
        <w:rPr>
          <w:rFonts w:ascii="Aptos" w:hAnsi="Aptos" w:cstheme="minorHAnsi"/>
        </w:rPr>
        <w:t xml:space="preserve"> flow cytometer. Phagocytic activity was quantified as a </w:t>
      </w:r>
      <w:proofErr w:type="spellStart"/>
      <w:r w:rsidRPr="00A77F06">
        <w:rPr>
          <w:rFonts w:ascii="Aptos" w:hAnsi="Aptos" w:cstheme="minorHAnsi"/>
        </w:rPr>
        <w:t>PhagoScore</w:t>
      </w:r>
      <w:proofErr w:type="spellEnd"/>
      <w:r w:rsidRPr="00A77F06">
        <w:rPr>
          <w:rFonts w:ascii="Aptos" w:hAnsi="Aptos" w:cstheme="minorHAnsi"/>
        </w:rPr>
        <w:t>: (% bead-positive THP-1 cells) × (geometric MFI of bead uptake). Antigens included RSV Pre-F and H1.</w:t>
      </w:r>
    </w:p>
    <w:p w14:paraId="299FD3E1" w14:textId="77777777" w:rsidR="00C27F0F" w:rsidRPr="00A77F06" w:rsidRDefault="00C27F0F" w:rsidP="00FF26A4">
      <w:pPr>
        <w:spacing w:before="240" w:after="100" w:line="480" w:lineRule="auto"/>
        <w:rPr>
          <w:rFonts w:ascii="Aptos" w:hAnsi="Aptos" w:cstheme="minorHAnsi"/>
        </w:rPr>
      </w:pPr>
      <w:proofErr w:type="spellStart"/>
      <w:r>
        <w:rPr>
          <w:rFonts w:ascii="Aptos" w:hAnsi="Aptos" w:cstheme="minorHAnsi"/>
          <w:b/>
          <w:bCs/>
          <w:i/>
          <w:iCs/>
        </w:rPr>
        <w:t>Singleplex</w:t>
      </w:r>
      <w:proofErr w:type="spellEnd"/>
      <w:r w:rsidRPr="00A77F06">
        <w:rPr>
          <w:rFonts w:ascii="Aptos" w:hAnsi="Aptos" w:cstheme="minorHAnsi"/>
          <w:b/>
          <w:bCs/>
          <w:i/>
          <w:iCs/>
        </w:rPr>
        <w:t xml:space="preserve"> Antibody-Dependent Neutrophil Phagocytosis (ADNP)</w:t>
      </w:r>
    </w:p>
    <w:p w14:paraId="73901F40" w14:textId="77777777" w:rsidR="00C27F0F" w:rsidRPr="00A77F06" w:rsidRDefault="00C27F0F" w:rsidP="00FF26A4">
      <w:pPr>
        <w:spacing w:line="480" w:lineRule="auto"/>
        <w:rPr>
          <w:rFonts w:ascii="Aptos" w:hAnsi="Aptos" w:cstheme="minorHAnsi"/>
        </w:rPr>
      </w:pPr>
      <w:r w:rsidRPr="00A77F06">
        <w:rPr>
          <w:rFonts w:ascii="Aptos" w:hAnsi="Aptos" w:cstheme="minorHAnsi"/>
        </w:rPr>
        <w:t xml:space="preserve">RSV </w:t>
      </w:r>
      <w:proofErr w:type="spellStart"/>
      <w:r w:rsidRPr="00A77F06">
        <w:rPr>
          <w:rFonts w:ascii="Aptos" w:hAnsi="Aptos" w:cstheme="minorHAnsi"/>
        </w:rPr>
        <w:t>PreF</w:t>
      </w:r>
      <w:proofErr w:type="spellEnd"/>
      <w:r w:rsidRPr="00A77F06">
        <w:rPr>
          <w:rFonts w:ascii="Aptos" w:hAnsi="Aptos" w:cstheme="minorHAnsi"/>
        </w:rPr>
        <w:t xml:space="preserve"> and H1N1 HA were biotinylated (BirA kit, Avidity) and coupled to </w:t>
      </w:r>
      <w:proofErr w:type="spellStart"/>
      <w:r w:rsidRPr="00A77F06">
        <w:rPr>
          <w:rFonts w:ascii="Aptos" w:hAnsi="Aptos" w:cstheme="minorHAnsi"/>
        </w:rPr>
        <w:t>FluoSpheres</w:t>
      </w:r>
      <w:proofErr w:type="spellEnd"/>
      <w:r w:rsidRPr="00A77F06">
        <w:rPr>
          <w:rFonts w:ascii="Aptos" w:hAnsi="Aptos" w:cstheme="minorHAnsi"/>
        </w:rPr>
        <w:t xml:space="preserve"> </w:t>
      </w:r>
      <w:proofErr w:type="spellStart"/>
      <w:r w:rsidRPr="00A77F06">
        <w:rPr>
          <w:rFonts w:ascii="Aptos" w:hAnsi="Aptos" w:cstheme="minorHAnsi"/>
        </w:rPr>
        <w:t>NeutroAvidin</w:t>
      </w:r>
      <w:proofErr w:type="spellEnd"/>
      <w:r w:rsidRPr="00A77F06">
        <w:rPr>
          <w:rFonts w:ascii="Aptos" w:hAnsi="Aptos" w:cstheme="minorHAnsi"/>
        </w:rPr>
        <w:t xml:space="preserve">-Labeled Microspheres (1.0 µm, yellow-green; Thermo Fisher). Serum (1:100 in PBS) was incubated with antigen-coated beads. Neutrophils were isolated from donor blood collected in CPT tubes, separated from granulocytes, and red blood cells were lysed with ACK Lysis Buffer. Neutrophils (5 × 10⁶ cells/well) were plated, incubated with immune complexes, and surface stained with APC-conjugated anti-CD66b antibody (BioLegend, #305117) for 15 minutes at room temperature. Cells were fixed with 4% PFA and acquired on an Attune </w:t>
      </w:r>
      <w:proofErr w:type="spellStart"/>
      <w:r w:rsidRPr="00A77F06">
        <w:rPr>
          <w:rFonts w:ascii="Aptos" w:hAnsi="Aptos" w:cstheme="minorHAnsi"/>
        </w:rPr>
        <w:t>NxT</w:t>
      </w:r>
      <w:proofErr w:type="spellEnd"/>
      <w:r w:rsidRPr="00A77F06">
        <w:rPr>
          <w:rFonts w:ascii="Aptos" w:hAnsi="Aptos" w:cstheme="minorHAnsi"/>
        </w:rPr>
        <w:t xml:space="preserve"> flow cytometer. Neutrophils were gated as CD66b</w:t>
      </w:r>
      <w:r w:rsidRPr="00A77F06">
        <w:rPr>
          <w:rFonts w:ascii="Cambria Math" w:hAnsi="Cambria Math" w:cs="Cambria Math"/>
        </w:rPr>
        <w:t>⁺</w:t>
      </w:r>
      <w:r w:rsidRPr="00A77F06">
        <w:rPr>
          <w:rFonts w:ascii="Aptos" w:hAnsi="Aptos" w:cstheme="minorHAnsi"/>
        </w:rPr>
        <w:t xml:space="preserve">, and the </w:t>
      </w:r>
      <w:proofErr w:type="spellStart"/>
      <w:r w:rsidRPr="00A77F06">
        <w:rPr>
          <w:rFonts w:ascii="Aptos" w:hAnsi="Aptos" w:cstheme="minorHAnsi"/>
        </w:rPr>
        <w:t>PhagoScore</w:t>
      </w:r>
      <w:proofErr w:type="spellEnd"/>
      <w:r w:rsidRPr="00A77F06">
        <w:rPr>
          <w:rFonts w:ascii="Aptos" w:hAnsi="Aptos" w:cstheme="minorHAnsi"/>
        </w:rPr>
        <w:t xml:space="preserve"> was calculated as described for ADCP.</w:t>
      </w:r>
    </w:p>
    <w:p w14:paraId="7B0BC325" w14:textId="77777777" w:rsidR="00C27F0F" w:rsidRPr="00A77F06" w:rsidRDefault="00C27F0F" w:rsidP="00FF26A4">
      <w:pPr>
        <w:spacing w:before="240" w:after="100" w:line="480" w:lineRule="auto"/>
        <w:rPr>
          <w:rFonts w:ascii="Aptos" w:hAnsi="Aptos" w:cstheme="minorHAnsi"/>
        </w:rPr>
      </w:pPr>
      <w:r w:rsidRPr="00A77F06">
        <w:rPr>
          <w:rFonts w:ascii="Aptos" w:hAnsi="Aptos" w:cstheme="minorHAnsi"/>
          <w:b/>
          <w:bCs/>
          <w:i/>
          <w:iCs/>
        </w:rPr>
        <w:t>RSV Plaque Reduction Neutralization Test (PRNT)</w:t>
      </w:r>
    </w:p>
    <w:p w14:paraId="0D4A6E09" w14:textId="77777777" w:rsidR="00C27F0F" w:rsidRDefault="00C27F0F" w:rsidP="00FF26A4">
      <w:pPr>
        <w:spacing w:line="480" w:lineRule="auto"/>
        <w:rPr>
          <w:rFonts w:ascii="Aptos" w:hAnsi="Aptos" w:cstheme="minorHAnsi"/>
        </w:rPr>
      </w:pPr>
      <w:r w:rsidRPr="00A77F06">
        <w:rPr>
          <w:rFonts w:ascii="Aptos" w:hAnsi="Aptos" w:cstheme="minorHAnsi"/>
        </w:rPr>
        <w:t xml:space="preserve">Serum samples were heat-inactivated at 56°C for 1 hour and serially diluted (1:40 to 1:2560) in </w:t>
      </w:r>
      <w:proofErr w:type="spellStart"/>
      <w:r w:rsidRPr="00A77F06">
        <w:rPr>
          <w:rFonts w:ascii="Aptos" w:hAnsi="Aptos" w:cstheme="minorHAnsi"/>
        </w:rPr>
        <w:t>OptiMEM</w:t>
      </w:r>
      <w:proofErr w:type="spellEnd"/>
      <w:r w:rsidRPr="00A77F06">
        <w:rPr>
          <w:rFonts w:ascii="Aptos" w:hAnsi="Aptos" w:cstheme="minorHAnsi"/>
        </w:rPr>
        <w:t xml:space="preserve"> (Thermo Fisher) supplemented with 2% FBS, 1% </w:t>
      </w:r>
      <w:proofErr w:type="spellStart"/>
      <w:r w:rsidRPr="00A77F06">
        <w:rPr>
          <w:rFonts w:ascii="Aptos" w:hAnsi="Aptos" w:cstheme="minorHAnsi"/>
        </w:rPr>
        <w:t>PenStrep</w:t>
      </w:r>
      <w:proofErr w:type="spellEnd"/>
      <w:r w:rsidRPr="00A77F06">
        <w:rPr>
          <w:rFonts w:ascii="Aptos" w:hAnsi="Aptos" w:cstheme="minorHAnsi"/>
        </w:rPr>
        <w:t xml:space="preserve">, and 1% </w:t>
      </w:r>
      <w:proofErr w:type="spellStart"/>
      <w:r w:rsidRPr="00A77F06">
        <w:rPr>
          <w:rFonts w:ascii="Aptos" w:hAnsi="Aptos" w:cstheme="minorHAnsi"/>
        </w:rPr>
        <w:t>GlutaMax</w:t>
      </w:r>
      <w:proofErr w:type="spellEnd"/>
      <w:r w:rsidRPr="00A77F06">
        <w:rPr>
          <w:rFonts w:ascii="Aptos" w:hAnsi="Aptos" w:cstheme="minorHAnsi"/>
        </w:rPr>
        <w:t xml:space="preserve">. RSV A2 or RSV B1 (100 PFU) was added to each diluted sample and incubated for 1 hour at room temperature. Vero cells, seeded to confluency in 24-well plates, were inoculated with 150 µL of virus-serum mixture for 2 hours at 37°C with intermittent agitation. An overlay of 0.5% agarose in supplemented </w:t>
      </w:r>
      <w:proofErr w:type="spellStart"/>
      <w:r w:rsidRPr="00A77F06">
        <w:rPr>
          <w:rFonts w:ascii="Aptos" w:hAnsi="Aptos" w:cstheme="minorHAnsi"/>
        </w:rPr>
        <w:t>OptiMEM</w:t>
      </w:r>
      <w:proofErr w:type="spellEnd"/>
      <w:r w:rsidRPr="00A77F06">
        <w:rPr>
          <w:rFonts w:ascii="Aptos" w:hAnsi="Aptos" w:cstheme="minorHAnsi"/>
        </w:rPr>
        <w:t xml:space="preserve"> was applied, and plates were incubated at 37°C for 7 days. Plaques were fixed with 10% neutral buffered formalin (5–6 hours) and stained overnight with Naphthol Blue Black. ATCC reference sera (High [#NR-4021], Medium [#NR-4022], Low [#NR-4023], and IgG-depleted [#NR-49447]) were included as controls. IC50 values were calculated from plaque counts across the dilution series.</w:t>
      </w:r>
    </w:p>
    <w:p w14:paraId="7B6C1207" w14:textId="77777777" w:rsidR="00C27F0F" w:rsidRDefault="00C27F0F" w:rsidP="00FF26A4">
      <w:pPr>
        <w:spacing w:line="480" w:lineRule="auto"/>
        <w:rPr>
          <w:rFonts w:ascii="Aptos" w:hAnsi="Aptos" w:cstheme="minorHAnsi"/>
          <w:b/>
          <w:bCs/>
          <w:i/>
          <w:iCs/>
        </w:rPr>
      </w:pPr>
      <w:r w:rsidRPr="003C6707">
        <w:rPr>
          <w:rFonts w:ascii="Aptos" w:hAnsi="Aptos" w:cstheme="minorHAnsi"/>
          <w:b/>
          <w:bCs/>
          <w:i/>
          <w:iCs/>
        </w:rPr>
        <w:lastRenderedPageBreak/>
        <w:t xml:space="preserve">H1N1 </w:t>
      </w:r>
      <w:r>
        <w:rPr>
          <w:rFonts w:ascii="Aptos" w:hAnsi="Aptos" w:cstheme="minorHAnsi"/>
          <w:b/>
          <w:bCs/>
          <w:i/>
          <w:iCs/>
        </w:rPr>
        <w:t>Microneutralization Assay</w:t>
      </w:r>
    </w:p>
    <w:p w14:paraId="7BFC90AC" w14:textId="77777777" w:rsidR="00C27F0F" w:rsidRPr="008B1FE3" w:rsidRDefault="00C27F0F" w:rsidP="00FF26A4">
      <w:pPr>
        <w:spacing w:line="480" w:lineRule="auto"/>
        <w:rPr>
          <w:rFonts w:ascii="Aptos" w:hAnsi="Aptos" w:cstheme="minorHAnsi"/>
        </w:rPr>
      </w:pPr>
      <w:r>
        <w:rPr>
          <w:rFonts w:ascii="Aptos" w:hAnsi="Aptos" w:cstheme="minorHAnsi"/>
        </w:rPr>
        <w:t xml:space="preserve">H1N1 microneutralization assays were performed as previously described </w:t>
      </w:r>
      <w:r>
        <w:rPr>
          <w:rFonts w:ascii="Aptos" w:hAnsi="Aptos" w:cstheme="minorHAnsi"/>
        </w:rPr>
        <w:fldChar w:fldCharType="begin">
          <w:fldData xml:space="preserve">PEVuZE5vdGU+PENpdGU+PEF1dGhvcj5TaGFwaXJvPC9BdXRob3I+PFllYXI+MjAyMzwvWWVhcj48
UmVjTnVtPjc5PC9SZWNOdW0+PERpc3BsYXlUZXh0PjxzdHlsZSBmYWNlPSJzdXBlcnNjcmlwdCI+
OTI8L3N0eWxlPjwvRGlzcGxheVRleHQ+PHJlY29yZD48cmVjLW51bWJlcj43OTwvcmVjLW51bWJl
cj48Zm9yZWlnbi1rZXlzPjxrZXkgYXBwPSJFTiIgZGItaWQ9ImV0cDl6enMyM3pzZjVhZXBkMGNw
NXd2Z3Y5eDlmMng1OXdkdiIgdGltZXN0YW1wPSIxNzg1MTc3MDE4Ij43OTwva2V5PjwvZm9yZWln
bi1rZXlzPjxyZWYtdHlwZSBuYW1lPSJKb3VybmFsIEFydGljbGUiPjE3PC9yZWYtdHlwZT48Y29u
dHJpYnV0b3JzPjxhdXRob3JzPjxhdXRob3I+U2hhcGlybywgSi4gUi48L2F1dGhvcj48YXV0aG9y
PlNlZGR1LCBLLjwvYXV0aG9yPjxhdXRob3I+UGFyaywgSC4gUy48L2F1dGhvcj48YXV0aG9yPkxl
ZSwgSi4gUy48L2F1dGhvcj48YXV0aG9yPkNyZWlzaGVyLCBQLiBTLjwvYXV0aG9yPjxhdXRob3I+
WWluLCBBLjwvYXV0aG9yPjxhdXRob3I+U2hlYSwgUC48L2F1dGhvcj48YXV0aG9yPkt1bywgSC48
L2F1dGhvcj48YXV0aG9yPkxpLCBILjwvYXV0aG9yPjxhdXRob3I+QWJyYW1zLCBFLjwvYXV0aG9y
PjxhdXRob3I+TGVuZywgUy4gWC48L2F1dGhvcj48YXV0aG9yPk1vcmdhbiwgUi48L2F1dGhvcj48
YXV0aG9yPktsZWluLCBTLiBMLjwvYXV0aG9yPjwvYXV0aG9ycz48L2NvbnRyaWJ1dG9ycz48YXV0
aC1hZGRyZXNzPlcuIEhhcnJ5IEZlaW5zdG9uZSBEZXBhcnRtZW50IG9mIE1vbGVjdWxhciBNaWNy
b2Jpb2xvZ3kgYW5kIEltbXVub2xvZ3ksIEpvaG5zIEhvcGtpbnMgQmxvb21iZXJnIFNjaG9vbCBv
ZiBQdWJsaWMgSGVhbHRoLCA2MTUgTi4gV29sZmUgU3RyZWV0LCBCYWx0aW1vcmUsIE1ELCAyMTIw
NSwgVVNBLiYjeEQ7RGVwYXJ0bWVudCBvZiBJbnRlcm5hdGlvbmFsIEhlYWx0aCwgSm9obnMgSG9w
a2lucyBCbG9vbWJlcmcgU2Nob29sIG9mIFB1YmxpYyBIZWFsdGgsIEJhbHRpbW9yZSwgTUQsIFVT
QS4mI3hEO0RpdmlzaW9uIG9mIEdlcmlhdHJpYyBNZWRpY2luZSBhbmQgR2Vyb250b2xvZ3ksIERl
cGFydG1lbnQgb2YgTWVkaWNpbmUsIEpvaG5zIEhvcGtpbnMgVW5pdmVyc2l0eSBTY2hvb2wgb2Yg
TWVkaWNpbmUsIEJhbHRpbW9yZSwgTUQsIFVTQS4mI3hEO1cuIEhhcnJ5IEZlaW5zdG9uZSBEZXBh
cnRtZW50IG9mIE1vbGVjdWxhciBNaWNyb2Jpb2xvZ3kgYW5kIEltbXVub2xvZ3ksIEpvaG5zIEhv
cGtpbnMgQmxvb21iZXJnIFNjaG9vbCBvZiBQdWJsaWMgSGVhbHRoLCA2MTUgTi4gV29sZmUgU3Ry
ZWV0LCBCYWx0aW1vcmUsIE1ELCAyMTIwNSwgVVNBLiBza2xlaW4yQGpodS5lZHUuJiN4RDtEZXBh
cnRtZW50IG9mIEludGVybmF0aW9uYWwgSGVhbHRoLCBKb2hucyBIb3BraW5zIEJsb29tYmVyZyBT
Y2hvb2wgb2YgUHVibGljIEhlYWx0aCwgQmFsdGltb3JlLCBNRCwgVVNBLiBza2xlaW4yQGpodS5l
ZHUuPC9hdXRoLWFkZHJlc3M+PHRpdGxlcz48dGl0bGU+VGhlIGludGVyc2VjdGlvbiBvZiBiaW9s
b2dpY2FsIHNleCBhbmQgZ2VuZGVyIGluIGFkdmVyc2UgZXZlbnRzIGZvbGxvd2luZyBzZWFzb25h
bCBpbmZsdWVuemEgdmFjY2luYXRpb24gaW4gb2xkZXIgYWR1bHRzPC90aXRsZT48c2Vjb25kYXJ5
LXRpdGxlPkltbXVuIEFnZWluZzwvc2Vjb25kYXJ5LXRpdGxlPjwvdGl0bGVzPjxwZXJpb2RpY2Fs
PjxmdWxsLXRpdGxlPkltbXVuIEFnZWluZzwvZnVsbC10aXRsZT48L3BlcmlvZGljYWw+PHBhZ2Vz
PjQzPC9wYWdlcz48dm9sdW1lPjIwPC92b2x1bWU+PG51bWJlcj4xPC9udW1iZXI+PGVkaXRpb24+
MjAyMzA4Mjk8L2VkaXRpb24+PGtleXdvcmRzPjxrZXl3b3JkPkFkdmVyc2UgZXZlbnRzPC9rZXl3
b3JkPjxrZXl3b3JkPkJzcmk8L2tleXdvcmQ+PGtleXdvcmQ+RXN0cmFkaW9sPC9rZXl3b3JkPjxr
ZXl3b3JkPkdlbmRlcjwva2V5d29yZD48a2V5d29yZD5JbC02PC9rZXl3b3JkPjxrZXl3b3JkPklu
Zmx1ZW56YTwva2V5d29yZD48a2V5d29yZD5PbGRlciBhZHVsdHM8L2tleXdvcmQ+PGtleXdvcmQ+
U2V4PC9rZXl3b3JkPjwva2V5d29yZHM+PGRhdGVzPjx5ZWFyPjIwMjM8L3llYXI+PHB1Yi1kYXRl
cz48ZGF0ZT5BdWcgMjk8L2RhdGU+PC9wdWItZGF0ZXM+PC9kYXRlcz48aXNibj4xNzQyLTQ5MzMg
KFByaW50KSYjeEQ7MTc0Mi00OTMzPC9pc2JuPjxhY2Nlc3Npb24tbnVtPjM3NjQ0NjEwPC9hY2Nl
c3Npb24tbnVtPjx1cmxzPjwvdXJscz48Y3VzdG9tMT5UaGUgYXV0aG9ycyBkZWNsYXJlIG5vIGNv
bXBldGluZyBpbnRlcmVzdHMuPC9jdXN0b20xPjxjdXN0b20yPlBNQzEwNDYzMzgzPC9jdXN0b20y
PjxlbGVjdHJvbmljLXJlc291cmNlLW51bT4xMC4xMTg2L3MxMjk3OS0wMjMtMDAzNjctMzwvZWxl
Y3Ryb25pYy1yZXNvdXJjZS1udW0+PHJlbW90ZS1kYXRhYmFzZS1wcm92aWRlcj5OTE08L3JlbW90
ZS1kYXRhYmFzZS1wcm92aWRlcj48bGFuZ3VhZ2U+ZW5nPC9sYW5ndWFnZT48L3JlY29yZD48L0Np
dGU+PC9FbmROb3RlPgB=
</w:fldData>
        </w:fldChar>
      </w:r>
      <w:r>
        <w:rPr>
          <w:rFonts w:ascii="Aptos" w:hAnsi="Aptos" w:cstheme="minorHAnsi"/>
        </w:rPr>
        <w:instrText xml:space="preserve"> ADDIN EN.CITE </w:instrText>
      </w:r>
      <w:r>
        <w:rPr>
          <w:rFonts w:ascii="Aptos" w:hAnsi="Aptos" w:cstheme="minorHAnsi"/>
        </w:rPr>
        <w:fldChar w:fldCharType="begin">
          <w:fldData xml:space="preserve">PEVuZE5vdGU+PENpdGU+PEF1dGhvcj5TaGFwaXJvPC9BdXRob3I+PFllYXI+MjAyMzwvWWVhcj48
UmVjTnVtPjc5PC9SZWNOdW0+PERpc3BsYXlUZXh0PjxzdHlsZSBmYWNlPSJzdXBlcnNjcmlwdCI+
OTI8L3N0eWxlPjwvRGlzcGxheVRleHQ+PHJlY29yZD48cmVjLW51bWJlcj43OTwvcmVjLW51bWJl
cj48Zm9yZWlnbi1rZXlzPjxrZXkgYXBwPSJFTiIgZGItaWQ9ImV0cDl6enMyM3pzZjVhZXBkMGNw
NXd2Z3Y5eDlmMng1OXdkdiIgdGltZXN0YW1wPSIxNzg1MTc3MDE4Ij43OTwva2V5PjwvZm9yZWln
bi1rZXlzPjxyZWYtdHlwZSBuYW1lPSJKb3VybmFsIEFydGljbGUiPjE3PC9yZWYtdHlwZT48Y29u
dHJpYnV0b3JzPjxhdXRob3JzPjxhdXRob3I+U2hhcGlybywgSi4gUi48L2F1dGhvcj48YXV0aG9y
PlNlZGR1LCBLLjwvYXV0aG9yPjxhdXRob3I+UGFyaywgSC4gUy48L2F1dGhvcj48YXV0aG9yPkxl
ZSwgSi4gUy48L2F1dGhvcj48YXV0aG9yPkNyZWlzaGVyLCBQLiBTLjwvYXV0aG9yPjxhdXRob3I+
WWluLCBBLjwvYXV0aG9yPjxhdXRob3I+U2hlYSwgUC48L2F1dGhvcj48YXV0aG9yPkt1bywgSC48
L2F1dGhvcj48YXV0aG9yPkxpLCBILjwvYXV0aG9yPjxhdXRob3I+QWJyYW1zLCBFLjwvYXV0aG9y
PjxhdXRob3I+TGVuZywgUy4gWC48L2F1dGhvcj48YXV0aG9yPk1vcmdhbiwgUi48L2F1dGhvcj48
YXV0aG9yPktsZWluLCBTLiBMLjwvYXV0aG9yPjwvYXV0aG9ycz48L2NvbnRyaWJ1dG9ycz48YXV0
aC1hZGRyZXNzPlcuIEhhcnJ5IEZlaW5zdG9uZSBEZXBhcnRtZW50IG9mIE1vbGVjdWxhciBNaWNy
b2Jpb2xvZ3kgYW5kIEltbXVub2xvZ3ksIEpvaG5zIEhvcGtpbnMgQmxvb21iZXJnIFNjaG9vbCBv
ZiBQdWJsaWMgSGVhbHRoLCA2MTUgTi4gV29sZmUgU3RyZWV0LCBCYWx0aW1vcmUsIE1ELCAyMTIw
NSwgVVNBLiYjeEQ7RGVwYXJ0bWVudCBvZiBJbnRlcm5hdGlvbmFsIEhlYWx0aCwgSm9obnMgSG9w
a2lucyBCbG9vbWJlcmcgU2Nob29sIG9mIFB1YmxpYyBIZWFsdGgsIEJhbHRpbW9yZSwgTUQsIFVT
QS4mI3hEO0RpdmlzaW9uIG9mIEdlcmlhdHJpYyBNZWRpY2luZSBhbmQgR2Vyb250b2xvZ3ksIERl
cGFydG1lbnQgb2YgTWVkaWNpbmUsIEpvaG5zIEhvcGtpbnMgVW5pdmVyc2l0eSBTY2hvb2wgb2Yg
TWVkaWNpbmUsIEJhbHRpbW9yZSwgTUQsIFVTQS4mI3hEO1cuIEhhcnJ5IEZlaW5zdG9uZSBEZXBh
cnRtZW50IG9mIE1vbGVjdWxhciBNaWNyb2Jpb2xvZ3kgYW5kIEltbXVub2xvZ3ksIEpvaG5zIEhv
cGtpbnMgQmxvb21iZXJnIFNjaG9vbCBvZiBQdWJsaWMgSGVhbHRoLCA2MTUgTi4gV29sZmUgU3Ry
ZWV0LCBCYWx0aW1vcmUsIE1ELCAyMTIwNSwgVVNBLiBza2xlaW4yQGpodS5lZHUuJiN4RDtEZXBh
cnRtZW50IG9mIEludGVybmF0aW9uYWwgSGVhbHRoLCBKb2hucyBIb3BraW5zIEJsb29tYmVyZyBT
Y2hvb2wgb2YgUHVibGljIEhlYWx0aCwgQmFsdGltb3JlLCBNRCwgVVNBLiBza2xlaW4yQGpodS5l
ZHUuPC9hdXRoLWFkZHJlc3M+PHRpdGxlcz48dGl0bGU+VGhlIGludGVyc2VjdGlvbiBvZiBiaW9s
b2dpY2FsIHNleCBhbmQgZ2VuZGVyIGluIGFkdmVyc2UgZXZlbnRzIGZvbGxvd2luZyBzZWFzb25h
bCBpbmZsdWVuemEgdmFjY2luYXRpb24gaW4gb2xkZXIgYWR1bHRzPC90aXRsZT48c2Vjb25kYXJ5
LXRpdGxlPkltbXVuIEFnZWluZzwvc2Vjb25kYXJ5LXRpdGxlPjwvdGl0bGVzPjxwZXJpb2RpY2Fs
PjxmdWxsLXRpdGxlPkltbXVuIEFnZWluZzwvZnVsbC10aXRsZT48L3BlcmlvZGljYWw+PHBhZ2Vz
PjQzPC9wYWdlcz48dm9sdW1lPjIwPC92b2x1bWU+PG51bWJlcj4xPC9udW1iZXI+PGVkaXRpb24+
MjAyMzA4Mjk8L2VkaXRpb24+PGtleXdvcmRzPjxrZXl3b3JkPkFkdmVyc2UgZXZlbnRzPC9rZXl3
b3JkPjxrZXl3b3JkPkJzcmk8L2tleXdvcmQ+PGtleXdvcmQ+RXN0cmFkaW9sPC9rZXl3b3JkPjxr
ZXl3b3JkPkdlbmRlcjwva2V5d29yZD48a2V5d29yZD5JbC02PC9rZXl3b3JkPjxrZXl3b3JkPklu
Zmx1ZW56YTwva2V5d29yZD48a2V5d29yZD5PbGRlciBhZHVsdHM8L2tleXdvcmQ+PGtleXdvcmQ+
U2V4PC9rZXl3b3JkPjwva2V5d29yZHM+PGRhdGVzPjx5ZWFyPjIwMjM8L3llYXI+PHB1Yi1kYXRl
cz48ZGF0ZT5BdWcgMjk8L2RhdGU+PC9wdWItZGF0ZXM+PC9kYXRlcz48aXNibj4xNzQyLTQ5MzMg
KFByaW50KSYjeEQ7MTc0Mi00OTMzPC9pc2JuPjxhY2Nlc3Npb24tbnVtPjM3NjQ0NjEwPC9hY2Nl
c3Npb24tbnVtPjx1cmxzPjwvdXJscz48Y3VzdG9tMT5UaGUgYXV0aG9ycyBkZWNsYXJlIG5vIGNv
bXBldGluZyBpbnRlcmVzdHMuPC9jdXN0b20xPjxjdXN0b20yPlBNQzEwNDYzMzgzPC9jdXN0b20y
PjxlbGVjdHJvbmljLXJlc291cmNlLW51bT4xMC4xMTg2L3MxMjk3OS0wMjMtMDAzNjctMzwvZWxl
Y3Ryb25pYy1yZXNvdXJjZS1udW0+PHJlbW90ZS1kYXRhYmFzZS1wcm92aWRlcj5OTE08L3JlbW90
ZS1kYXRhYmFzZS1wcm92aWRlcj48bGFuZ3VhZ2U+ZW5nPC9sYW5ndWFnZT48L3JlY29yZD48L0Np
dGU+PC9FbmROb3RlPgB=
</w:fldData>
        </w:fldChar>
      </w:r>
      <w:r>
        <w:rPr>
          <w:rFonts w:ascii="Aptos" w:hAnsi="Aptos" w:cstheme="minorHAnsi"/>
        </w:rPr>
        <w:instrText xml:space="preserve"> ADDIN EN.CITE.DATA </w:instrText>
      </w:r>
      <w:r>
        <w:rPr>
          <w:rFonts w:ascii="Aptos" w:hAnsi="Aptos" w:cstheme="minorHAnsi"/>
        </w:rPr>
      </w:r>
      <w:r>
        <w:rPr>
          <w:rFonts w:ascii="Aptos" w:hAnsi="Aptos" w:cstheme="minorHAnsi"/>
        </w:rPr>
        <w:fldChar w:fldCharType="end"/>
      </w:r>
      <w:r>
        <w:rPr>
          <w:rFonts w:ascii="Aptos" w:hAnsi="Aptos" w:cstheme="minorHAnsi"/>
        </w:rPr>
      </w:r>
      <w:r>
        <w:rPr>
          <w:rFonts w:ascii="Aptos" w:hAnsi="Aptos" w:cstheme="minorHAnsi"/>
        </w:rPr>
        <w:fldChar w:fldCharType="separate"/>
      </w:r>
      <w:r w:rsidRPr="00D112C7">
        <w:rPr>
          <w:rFonts w:ascii="Aptos" w:hAnsi="Aptos" w:cstheme="minorHAnsi"/>
          <w:noProof/>
          <w:vertAlign w:val="superscript"/>
        </w:rPr>
        <w:t>92</w:t>
      </w:r>
      <w:r>
        <w:rPr>
          <w:rFonts w:ascii="Aptos" w:hAnsi="Aptos" w:cstheme="minorHAnsi"/>
        </w:rPr>
        <w:fldChar w:fldCharType="end"/>
      </w:r>
      <w:r>
        <w:rPr>
          <w:rFonts w:ascii="Aptos" w:hAnsi="Aptos" w:cstheme="minorHAnsi"/>
        </w:rPr>
        <w:t>. Briefly, p</w:t>
      </w:r>
      <w:r w:rsidRPr="008B1FE3">
        <w:rPr>
          <w:rFonts w:ascii="Aptos" w:hAnsi="Aptos" w:cstheme="minorHAnsi"/>
        </w:rPr>
        <w:t>lasma samples were diluted with receptor destroying enzyme (RDE, Denka Seiken) at 1:3 ratio and incubated overnight at 37 °C followed by heat inactivation RDE at 56 °C for 35 min.</w:t>
      </w:r>
      <w:r>
        <w:rPr>
          <w:rFonts w:ascii="Aptos" w:hAnsi="Aptos" w:cstheme="minorHAnsi"/>
        </w:rPr>
        <w:t xml:space="preserve"> </w:t>
      </w:r>
      <w:r w:rsidRPr="008B1FE3">
        <w:rPr>
          <w:rFonts w:ascii="Aptos" w:hAnsi="Aptos" w:cstheme="minorHAnsi"/>
        </w:rPr>
        <w:t xml:space="preserve">Samples were 2-fold serially diluted in infection media (1% Penicillin/Streptomycin, 1% Glutamax, 0.5% BSA, 5 µg/ml of N-acetyl-trypsin in Dulbecco’s Modified Eagle’s Medium), and mixed with </w:t>
      </w:r>
      <w:r>
        <w:rPr>
          <w:rFonts w:ascii="Aptos" w:hAnsi="Aptos" w:cstheme="minorHAnsi"/>
        </w:rPr>
        <w:t>100</w:t>
      </w:r>
      <w:r w:rsidRPr="008B1FE3">
        <w:rPr>
          <w:rFonts w:ascii="Aptos" w:hAnsi="Aptos" w:cstheme="minorHAnsi"/>
        </w:rPr>
        <w:t xml:space="preserve"> TCID50 of </w:t>
      </w:r>
      <w:r>
        <w:rPr>
          <w:rFonts w:ascii="Aptos" w:hAnsi="Aptos" w:cstheme="minorHAnsi"/>
        </w:rPr>
        <w:t>A/Victoria/4897/2022</w:t>
      </w:r>
      <w:r w:rsidRPr="008B1FE3">
        <w:rPr>
          <w:rFonts w:ascii="Aptos" w:hAnsi="Aptos" w:cstheme="minorHAnsi"/>
        </w:rPr>
        <w:t xml:space="preserve"> (H1N1) vaccine strain vaccine strain, and incubated at room temperature for 1 h.</w:t>
      </w:r>
      <w:r>
        <w:rPr>
          <w:rFonts w:ascii="Aptos" w:hAnsi="Aptos" w:cstheme="minorHAnsi"/>
        </w:rPr>
        <w:t xml:space="preserve"> </w:t>
      </w:r>
      <w:r w:rsidRPr="008B1FE3">
        <w:rPr>
          <w:rFonts w:ascii="Aptos" w:hAnsi="Aptos" w:cstheme="minorHAnsi"/>
        </w:rPr>
        <w:t>The virus/serum mixture was transferred in duplicate into the 96-well cell culture plates containing confluent Madin-Darby Canine Kidney (MDCK) cells and incubated at 32 °C. After a 24 h incubation, plates were washed once with 1X PBS, fresh infection media was added, and cells were incubated for 7 days. Plates were fixed with 4% formaldehyde, stained with naphthol blue black solution. The neutralizing antibody titer was calculated as the highest plasma dilution that eliminated virus cytopathic effects in 50% of the wells.</w:t>
      </w:r>
    </w:p>
    <w:p w14:paraId="234719B0" w14:textId="40ADBA42" w:rsidR="00C27F0F" w:rsidRPr="00A77F06" w:rsidRDefault="00C27F0F" w:rsidP="00FF26A4">
      <w:pPr>
        <w:spacing w:before="240" w:after="100" w:line="480" w:lineRule="auto"/>
        <w:rPr>
          <w:rFonts w:ascii="Aptos" w:hAnsi="Aptos" w:cstheme="minorHAnsi"/>
        </w:rPr>
      </w:pPr>
      <w:r w:rsidRPr="00A77F06">
        <w:rPr>
          <w:rFonts w:ascii="Aptos" w:hAnsi="Aptos" w:cstheme="minorHAnsi"/>
          <w:b/>
          <w:bCs/>
          <w:i/>
          <w:iCs/>
        </w:rPr>
        <w:t xml:space="preserve">Steroid Hormone </w:t>
      </w:r>
      <w:r w:rsidR="00586BED">
        <w:rPr>
          <w:rFonts w:ascii="Aptos" w:hAnsi="Aptos" w:cstheme="minorHAnsi"/>
          <w:b/>
          <w:bCs/>
          <w:i/>
          <w:iCs/>
        </w:rPr>
        <w:t>Assays</w:t>
      </w:r>
    </w:p>
    <w:p w14:paraId="79B12A82" w14:textId="77777777" w:rsidR="00C27F0F" w:rsidRPr="00A77F06" w:rsidRDefault="00C27F0F" w:rsidP="00FF26A4">
      <w:pPr>
        <w:spacing w:line="480" w:lineRule="auto"/>
        <w:rPr>
          <w:rFonts w:ascii="Aptos" w:hAnsi="Aptos" w:cstheme="minorHAnsi"/>
        </w:rPr>
      </w:pPr>
      <w:r w:rsidRPr="00A77F06">
        <w:rPr>
          <w:rFonts w:ascii="Aptos" w:hAnsi="Aptos" w:cstheme="minorHAnsi"/>
        </w:rPr>
        <w:t xml:space="preserve">Steroid hormones were extracted from serum by acetonitrile precipitation (2:3 v/v </w:t>
      </w:r>
      <w:proofErr w:type="spellStart"/>
      <w:r w:rsidRPr="00A77F06">
        <w:rPr>
          <w:rFonts w:ascii="Aptos" w:hAnsi="Aptos" w:cstheme="minorHAnsi"/>
        </w:rPr>
        <w:t>serum:acetonitrile</w:t>
      </w:r>
      <w:proofErr w:type="spellEnd"/>
      <w:r w:rsidRPr="00A77F06">
        <w:rPr>
          <w:rFonts w:ascii="Aptos" w:hAnsi="Aptos" w:cstheme="minorHAnsi"/>
        </w:rPr>
        <w:t xml:space="preserve">), followed by centrifugation and vacuum drying. Dried extracts were reconstituted in assay buffer and analyzed using the MILLIPLEX MAP Multi-Species Hormone Magnetic Bead Panel (Millipore MSHMAG-21K) according to manufacturer's instructions. Cortisol, estradiol, and progesterone were quantified. Samples were incubated overnight with antibody-conjugated beads and detection reagents and read on a Luminex Intelliflex. </w:t>
      </w:r>
      <w:r>
        <w:rPr>
          <w:rFonts w:ascii="Aptos" w:hAnsi="Aptos" w:cstheme="minorHAnsi"/>
        </w:rPr>
        <w:t>Steroid</w:t>
      </w:r>
      <w:r w:rsidRPr="00A77F06">
        <w:rPr>
          <w:rFonts w:ascii="Aptos" w:hAnsi="Aptos" w:cstheme="minorHAnsi"/>
        </w:rPr>
        <w:t xml:space="preserve"> concentrations were determined by five-parameter logistic curve fit against standard concentrations.</w:t>
      </w:r>
    </w:p>
    <w:p w14:paraId="1CB8B890" w14:textId="77777777" w:rsidR="00C27F0F" w:rsidRPr="00A77F06" w:rsidRDefault="00C27F0F" w:rsidP="00FF26A4">
      <w:pPr>
        <w:spacing w:before="240" w:after="100" w:line="480" w:lineRule="auto"/>
        <w:rPr>
          <w:rFonts w:ascii="Aptos" w:hAnsi="Aptos" w:cstheme="minorHAnsi"/>
        </w:rPr>
      </w:pPr>
      <w:r w:rsidRPr="00A77F06">
        <w:rPr>
          <w:rFonts w:ascii="Aptos" w:hAnsi="Aptos" w:cstheme="minorHAnsi"/>
          <w:b/>
          <w:bCs/>
          <w:i/>
          <w:iCs/>
        </w:rPr>
        <w:t>Multiplex Cytokine Profiling</w:t>
      </w:r>
    </w:p>
    <w:p w14:paraId="758D1F30" w14:textId="77777777" w:rsidR="00C27F0F" w:rsidRDefault="00C27F0F" w:rsidP="00FF26A4">
      <w:pPr>
        <w:spacing w:line="480" w:lineRule="auto"/>
        <w:rPr>
          <w:rFonts w:ascii="Aptos" w:hAnsi="Aptos" w:cstheme="minorHAnsi"/>
        </w:rPr>
      </w:pPr>
      <w:r w:rsidRPr="00A77F06">
        <w:rPr>
          <w:rFonts w:ascii="Aptos" w:hAnsi="Aptos" w:cstheme="minorHAnsi"/>
        </w:rPr>
        <w:t xml:space="preserve">Cytokine concentrations were measured using the Human Cytokine Magnetic 25-Plex Panel Kit (Invitrogen, #LHC0009M). Serum samples were diluted as needed in assay diluent, and a fresh standard </w:t>
      </w:r>
      <w:r w:rsidRPr="00A77F06">
        <w:rPr>
          <w:rFonts w:ascii="Aptos" w:hAnsi="Aptos" w:cstheme="minorHAnsi"/>
        </w:rPr>
        <w:lastRenderedPageBreak/>
        <w:t>curve was generated for each run using serial dilutions of lyophilized standards. Capture antibody-coated magnetic beads were incubated with samples, standards, and blanks for 2 hours at room temperature or overnight at 4°C with shaking. Biotinylated detection antibodies and streptavidin-phycoerythrin were added sequentially with appropriate wash steps. Plates were acquired on a Luminex Intelliflex, and concentrations were determined by five-parameter logistic standard curve fitting. All steps were performed in the dark to prevent photobleaching.</w:t>
      </w:r>
    </w:p>
    <w:p w14:paraId="41F25B17" w14:textId="77777777" w:rsidR="00C27F0F" w:rsidRPr="00814489" w:rsidRDefault="00C27F0F" w:rsidP="00FF26A4">
      <w:pPr>
        <w:spacing w:line="480" w:lineRule="auto"/>
        <w:rPr>
          <w:rFonts w:ascii="Aptos" w:hAnsi="Aptos" w:cstheme="minorHAnsi"/>
          <w:b/>
          <w:i/>
        </w:rPr>
      </w:pPr>
      <w:r w:rsidRPr="00814489">
        <w:rPr>
          <w:rFonts w:ascii="Aptos" w:hAnsi="Aptos" w:cstheme="minorHAnsi"/>
          <w:b/>
          <w:i/>
        </w:rPr>
        <w:t>Machine Learning</w:t>
      </w:r>
    </w:p>
    <w:p w14:paraId="099D5581" w14:textId="77777777" w:rsidR="00C27F0F" w:rsidRDefault="00C27F0F" w:rsidP="00FF26A4">
      <w:pPr>
        <w:spacing w:line="480" w:lineRule="auto"/>
        <w:rPr>
          <w:rFonts w:ascii="Aptos" w:hAnsi="Aptos" w:cstheme="minorHAnsi"/>
        </w:rPr>
      </w:pPr>
      <w:r>
        <w:rPr>
          <w:rFonts w:ascii="Aptos" w:hAnsi="Aptos" w:cstheme="minorHAnsi"/>
        </w:rPr>
        <w:t>Systems serology and immunological data were log</w:t>
      </w:r>
      <w:r w:rsidRPr="00814489">
        <w:rPr>
          <w:rFonts w:ascii="Aptos" w:hAnsi="Aptos" w:cstheme="minorHAnsi"/>
          <w:vertAlign w:val="subscript"/>
        </w:rPr>
        <w:t>10</w:t>
      </w:r>
      <w:r>
        <w:rPr>
          <w:rFonts w:ascii="Aptos" w:hAnsi="Aptos" w:cstheme="minorHAnsi"/>
        </w:rPr>
        <w:t>-transformed to approximate Gaussian distributions. 2-month-old infant IgG1 levels (low and high) were defined using the median value as a cutoff for H1 (</w:t>
      </w:r>
      <w:r w:rsidRPr="00FA47C1">
        <w:rPr>
          <w:rFonts w:ascii="Aptos" w:hAnsi="Aptos" w:cstheme="minorHAnsi"/>
        </w:rPr>
        <w:t xml:space="preserve">cutoff: </w:t>
      </w:r>
      <w:r>
        <w:rPr>
          <w:rFonts w:ascii="Aptos" w:hAnsi="Aptos" w:cstheme="minorHAnsi"/>
        </w:rPr>
        <w:t>3.022 l</w:t>
      </w:r>
      <w:r w:rsidRPr="00FA47C1">
        <w:rPr>
          <w:rFonts w:ascii="Aptos" w:hAnsi="Aptos" w:cstheme="minorHAnsi"/>
        </w:rPr>
        <w:t>og</w:t>
      </w:r>
      <w:r w:rsidRPr="003711BD">
        <w:rPr>
          <w:rFonts w:ascii="Aptos" w:hAnsi="Aptos" w:cstheme="minorHAnsi"/>
          <w:vertAlign w:val="subscript"/>
        </w:rPr>
        <w:t>10</w:t>
      </w:r>
      <w:r w:rsidRPr="00FA47C1">
        <w:rPr>
          <w:rFonts w:ascii="Aptos" w:hAnsi="Aptos" w:cstheme="minorHAnsi"/>
        </w:rPr>
        <w:t>[MFI]</w:t>
      </w:r>
      <w:r>
        <w:rPr>
          <w:rFonts w:ascii="Aptos" w:hAnsi="Aptos" w:cstheme="minorHAnsi"/>
        </w:rPr>
        <w:t xml:space="preserve">) and RSV </w:t>
      </w:r>
      <w:proofErr w:type="spellStart"/>
      <w:r>
        <w:rPr>
          <w:rFonts w:ascii="Aptos" w:hAnsi="Aptos" w:cstheme="minorHAnsi"/>
        </w:rPr>
        <w:t>PreF</w:t>
      </w:r>
      <w:proofErr w:type="spellEnd"/>
      <w:r>
        <w:rPr>
          <w:rFonts w:ascii="Aptos" w:hAnsi="Aptos" w:cstheme="minorHAnsi"/>
        </w:rPr>
        <w:t>-specific data (</w:t>
      </w:r>
      <w:r w:rsidRPr="00FA47C1">
        <w:rPr>
          <w:rFonts w:ascii="Aptos" w:hAnsi="Aptos" w:cstheme="minorHAnsi"/>
        </w:rPr>
        <w:t xml:space="preserve">cutoff: </w:t>
      </w:r>
      <w:r>
        <w:rPr>
          <w:rFonts w:ascii="Aptos" w:hAnsi="Aptos" w:cstheme="minorHAnsi"/>
        </w:rPr>
        <w:t xml:space="preserve">3.894 </w:t>
      </w:r>
      <w:r w:rsidRPr="00FA47C1">
        <w:rPr>
          <w:rFonts w:ascii="Aptos" w:hAnsi="Aptos" w:cstheme="minorHAnsi"/>
        </w:rPr>
        <w:t>log</w:t>
      </w:r>
      <w:r w:rsidRPr="003711BD">
        <w:rPr>
          <w:rFonts w:ascii="Aptos" w:hAnsi="Aptos" w:cstheme="minorHAnsi"/>
          <w:vertAlign w:val="subscript"/>
        </w:rPr>
        <w:t>10</w:t>
      </w:r>
      <w:r w:rsidRPr="00FA47C1">
        <w:rPr>
          <w:rFonts w:ascii="Aptos" w:hAnsi="Aptos" w:cstheme="minorHAnsi"/>
        </w:rPr>
        <w:t>[MFI])</w:t>
      </w:r>
      <w:r>
        <w:rPr>
          <w:rFonts w:ascii="Aptos" w:hAnsi="Aptos" w:cstheme="minorHAnsi"/>
        </w:rPr>
        <w:t>. Complete (i.e., non-missing) data, including steroids, systems serology, neutralizing antibody, and phagocytosis scores, were available for n=28 maternal-cord pairings. Z-scaled maternal and cord blood data were used for sparse partial least squares discriminant analysis (</w:t>
      </w:r>
      <w:proofErr w:type="spellStart"/>
      <w:r>
        <w:rPr>
          <w:rFonts w:ascii="Aptos" w:hAnsi="Aptos" w:cstheme="minorHAnsi"/>
        </w:rPr>
        <w:t>sPLS</w:t>
      </w:r>
      <w:proofErr w:type="spellEnd"/>
      <w:r>
        <w:rPr>
          <w:rFonts w:ascii="Aptos" w:hAnsi="Aptos" w:cstheme="minorHAnsi"/>
        </w:rPr>
        <w:t xml:space="preserve">-DA), which includes a lasso penalization step for feature selection, to predict subsequent 2-month-old IgG1 levels (high or low) separately for each antigen. 7-fold cross-validation with 100 repeats was used to tune the number of components and variables within each component necessary for each model. The final models were determined based on the parameters that yielded the lowest overall error rates and balanced error rates. All supervised machine learning modeling was performed in RStudio v4.5.1 and the </w:t>
      </w:r>
      <w:proofErr w:type="spellStart"/>
      <w:r>
        <w:rPr>
          <w:rFonts w:ascii="Aptos" w:hAnsi="Aptos" w:cstheme="minorHAnsi"/>
        </w:rPr>
        <w:t>mixOmics</w:t>
      </w:r>
      <w:proofErr w:type="spellEnd"/>
      <w:r>
        <w:rPr>
          <w:rFonts w:ascii="Aptos" w:hAnsi="Aptos" w:cstheme="minorHAnsi"/>
        </w:rPr>
        <w:t xml:space="preserve"> package</w:t>
      </w:r>
      <w:r>
        <w:rPr>
          <w:rFonts w:ascii="Aptos" w:hAnsi="Aptos" w:cstheme="minorHAnsi"/>
        </w:rPr>
        <w:fldChar w:fldCharType="begin"/>
      </w:r>
      <w:r>
        <w:rPr>
          <w:rFonts w:ascii="Aptos" w:hAnsi="Aptos" w:cstheme="minorHAnsi"/>
        </w:rPr>
        <w:instrText xml:space="preserve"> ADDIN EN.CITE &lt;EndNote&gt;&lt;Cite&gt;&lt;Author&gt;Rohart&lt;/Author&gt;&lt;Year&gt;2017&lt;/Year&gt;&lt;RecNum&gt;47&lt;/RecNum&gt;&lt;DisplayText&gt;&lt;style face="superscript"&gt;93&lt;/style&gt;&lt;/DisplayText&gt;&lt;record&gt;&lt;rec-number&gt;47&lt;/rec-number&gt;&lt;foreign-keys&gt;&lt;key app="EN" db-id="etp9zzs23zsf5aepd0cp5wvgv9x9f2x59wdv" timestamp="1782146661"&gt;47&lt;/key&gt;&lt;/foreign-keys&gt;&lt;ref-type name="Journal Article"&gt;17&lt;/ref-type&gt;&lt;contributors&gt;&lt;authors&gt;&lt;author&gt;Rohart, F.&lt;/author&gt;&lt;author&gt;Gautier, B.&lt;/author&gt;&lt;author&gt;Singh, A.&lt;/author&gt;&lt;author&gt;Lê Cao KA&lt;/author&gt;&lt;/authors&gt;&lt;/contributors&gt;&lt;auth-address&gt;The University of Queensland Diamantina Institute, Translational Research Institute, Brisbane, Queensland, Australia.&amp;#xD;Prevention of Organ Failure (PROOF) Centre of Excellence, Vancouver, British Columbia, Canada.&amp;#xD;Department of Pathology and Laboratory Medicine, University of British Columbia, Vancouver, British Columbia, Canada.&amp;#xD;Melbourne Integrative Genomics and School of Mathematics and Statistics, University of Melbourne, Melbourne, Victoria, Australia.&lt;/auth-address&gt;&lt;titles&gt;&lt;title&gt;mixOmics: An R package for &amp;apos;omics feature selection and multiple data integration&lt;/title&gt;&lt;secondary-title&gt;PLoS Comput Biol&lt;/secondary-title&gt;&lt;/titles&gt;&lt;pages&gt;e1005752&lt;/pages&gt;&lt;volume&gt;13&lt;/volume&gt;&lt;number&gt;11&lt;/number&gt;&lt;edition&gt;20171103&lt;/edition&gt;&lt;keywords&gt;&lt;keyword&gt;Computational Biology/*methods&lt;/keyword&gt;&lt;keyword&gt;Data Interpretation, Statistical&lt;/keyword&gt;&lt;keyword&gt;*Genomics&lt;/keyword&gt;&lt;keyword&gt;Humans&lt;/keyword&gt;&lt;keyword&gt;*Metabolomics&lt;/keyword&gt;&lt;keyword&gt;Neoplasms/genetics/metabolism&lt;/keyword&gt;&lt;keyword&gt;*Software&lt;/keyword&gt;&lt;keyword&gt;Systems Biology&lt;/keyword&gt;&lt;/keywords&gt;&lt;dates&gt;&lt;year&gt;2017&lt;/year&gt;&lt;pub-dates&gt;&lt;date&gt;Nov&lt;/date&gt;&lt;/pub-dates&gt;&lt;/dates&gt;&lt;isbn&gt;1553-734X (Print)&amp;#xD;1553-734x&lt;/isbn&gt;&lt;accession-num&gt;29099853&lt;/accession-num&gt;&lt;urls&gt;&lt;/urls&gt;&lt;custom1&gt;The authors declare that they have no competing interests.&lt;/custom1&gt;&lt;custom2&gt;PMC5687754&lt;/custom2&gt;&lt;electronic-resource-num&gt;10.1371/journal.pcbi.1005752&lt;/electronic-resource-num&gt;&lt;remote-database-provider&gt;NLM&lt;/remote-database-provider&gt;&lt;language&gt;eng&lt;/language&gt;&lt;/record&gt;&lt;/Cite&gt;&lt;/EndNote&gt;</w:instrText>
      </w:r>
      <w:r>
        <w:rPr>
          <w:rFonts w:ascii="Aptos" w:hAnsi="Aptos" w:cstheme="minorHAnsi"/>
        </w:rPr>
        <w:fldChar w:fldCharType="separate"/>
      </w:r>
      <w:r w:rsidRPr="00D112C7">
        <w:rPr>
          <w:rFonts w:ascii="Aptos" w:hAnsi="Aptos" w:cstheme="minorHAnsi"/>
          <w:noProof/>
          <w:vertAlign w:val="superscript"/>
        </w:rPr>
        <w:t>93</w:t>
      </w:r>
      <w:r>
        <w:rPr>
          <w:rFonts w:ascii="Aptos" w:hAnsi="Aptos" w:cstheme="minorHAnsi"/>
        </w:rPr>
        <w:fldChar w:fldCharType="end"/>
      </w:r>
      <w:r>
        <w:rPr>
          <w:rFonts w:ascii="Aptos" w:hAnsi="Aptos" w:cstheme="minorHAnsi"/>
        </w:rPr>
        <w:t xml:space="preserve">. </w:t>
      </w:r>
    </w:p>
    <w:p w14:paraId="73E5E8A9" w14:textId="4FEE59FB" w:rsidR="00C27F0F" w:rsidRPr="00A77F06" w:rsidRDefault="00C27F0F" w:rsidP="00FF26A4">
      <w:pPr>
        <w:spacing w:before="240" w:after="100" w:line="480" w:lineRule="auto"/>
        <w:rPr>
          <w:rFonts w:ascii="Aptos" w:hAnsi="Aptos" w:cstheme="minorHAnsi"/>
        </w:rPr>
      </w:pPr>
      <w:r w:rsidRPr="00A77F06">
        <w:rPr>
          <w:rFonts w:ascii="Aptos" w:hAnsi="Aptos" w:cstheme="minorHAnsi"/>
          <w:b/>
          <w:bCs/>
          <w:i/>
          <w:iCs/>
        </w:rPr>
        <w:t>Statistical Analys</w:t>
      </w:r>
      <w:r w:rsidR="00C948E7">
        <w:rPr>
          <w:rFonts w:ascii="Aptos" w:hAnsi="Aptos" w:cstheme="minorHAnsi"/>
          <w:b/>
          <w:bCs/>
          <w:i/>
          <w:iCs/>
        </w:rPr>
        <w:t>e</w:t>
      </w:r>
      <w:r w:rsidRPr="00A77F06">
        <w:rPr>
          <w:rFonts w:ascii="Aptos" w:hAnsi="Aptos" w:cstheme="minorHAnsi"/>
          <w:b/>
          <w:bCs/>
          <w:i/>
          <w:iCs/>
        </w:rPr>
        <w:t>s</w:t>
      </w:r>
    </w:p>
    <w:p w14:paraId="561BA171" w14:textId="77777777" w:rsidR="00C27F0F" w:rsidRDefault="00C27F0F" w:rsidP="00FF26A4">
      <w:pPr>
        <w:spacing w:line="480" w:lineRule="auto"/>
        <w:rPr>
          <w:rFonts w:ascii="Aptos" w:hAnsi="Aptos" w:cstheme="minorHAnsi"/>
        </w:rPr>
      </w:pPr>
      <w:r>
        <w:rPr>
          <w:rFonts w:ascii="Aptos" w:hAnsi="Aptos" w:cstheme="minorHAnsi"/>
        </w:rPr>
        <w:t>For each antigen, average percentile ranks of systems serology, cytokine, and steroid hormone data were calculated for each measure and then visualized with polar plots by sample type (maternal blood, cord blood, or 2-month-old infant blood) with ggplot2 v4.0.3</w:t>
      </w:r>
      <w:r>
        <w:rPr>
          <w:rFonts w:ascii="Aptos" w:hAnsi="Aptos" w:cstheme="minorHAnsi"/>
        </w:rPr>
        <w:fldChar w:fldCharType="begin"/>
      </w:r>
      <w:r>
        <w:rPr>
          <w:rFonts w:ascii="Aptos" w:hAnsi="Aptos" w:cstheme="minorHAnsi"/>
        </w:rPr>
        <w:instrText xml:space="preserve"> ADDIN EN.CITE &lt;EndNote&gt;&lt;Cite&gt;&lt;Author&gt;Wickham&lt;/Author&gt;&lt;Year&gt;2016&lt;/Year&gt;&lt;RecNum&gt;48&lt;/RecNum&gt;&lt;DisplayText&gt;&lt;style face="superscript"&gt;94&lt;/style&gt;&lt;/DisplayText&gt;&lt;record&gt;&lt;rec-number&gt;48&lt;/rec-number&gt;&lt;foreign-keys&gt;&lt;key app="EN" db-id="etp9zzs23zsf5aepd0cp5wvgv9x9f2x59wdv" timestamp="1782146884"&gt;48&lt;/key&gt;&lt;/foreign-keys&gt;&lt;ref-type name="Book"&gt;6&lt;/ref-type&gt;&lt;contributors&gt;&lt;authors&gt;&lt;author&gt;Wickham, Hadley&lt;/author&gt;&lt;/authors&gt;&lt;/contributors&gt;&lt;titles&gt;&lt;title&gt;ggplot2 - Elegant Graphics for Data Analysis&lt;/title&gt;&lt;secondary-title&gt;Use R!&lt;/secondary-title&gt;&lt;/titles&gt;&lt;dates&gt;&lt;year&gt;2016&lt;/year&gt;&lt;/dates&gt;&lt;publisher&gt;Springer Cham&lt;/publisher&gt;&lt;urls&gt;&lt;/urls&gt;&lt;/record&gt;&lt;/Cite&gt;&lt;/EndNote&gt;</w:instrText>
      </w:r>
      <w:r>
        <w:rPr>
          <w:rFonts w:ascii="Aptos" w:hAnsi="Aptos" w:cstheme="minorHAnsi"/>
        </w:rPr>
        <w:fldChar w:fldCharType="separate"/>
      </w:r>
      <w:r w:rsidRPr="00D112C7">
        <w:rPr>
          <w:rFonts w:ascii="Aptos" w:hAnsi="Aptos" w:cstheme="minorHAnsi"/>
          <w:noProof/>
          <w:vertAlign w:val="superscript"/>
        </w:rPr>
        <w:t>94</w:t>
      </w:r>
      <w:r>
        <w:rPr>
          <w:rFonts w:ascii="Aptos" w:hAnsi="Aptos" w:cstheme="minorHAnsi"/>
        </w:rPr>
        <w:fldChar w:fldCharType="end"/>
      </w:r>
      <w:r>
        <w:rPr>
          <w:rFonts w:ascii="Aptos" w:hAnsi="Aptos" w:cstheme="minorHAnsi"/>
        </w:rPr>
        <w:t xml:space="preserve"> in RStudio v4.5.1. </w:t>
      </w:r>
      <w:r w:rsidRPr="00A77F06">
        <w:rPr>
          <w:rFonts w:ascii="Aptos" w:hAnsi="Aptos" w:cstheme="minorHAnsi"/>
        </w:rPr>
        <w:t xml:space="preserve">Statistical analyses were performed in GraphPad Prism (v10.6.1). Unpaired or paired two-tailed t-tests were used for pairwise </w:t>
      </w:r>
      <w:r w:rsidRPr="00A77F06">
        <w:rPr>
          <w:rFonts w:ascii="Aptos" w:hAnsi="Aptos" w:cstheme="minorHAnsi"/>
        </w:rPr>
        <w:lastRenderedPageBreak/>
        <w:t>comparisons</w:t>
      </w:r>
      <w:r>
        <w:rPr>
          <w:rFonts w:ascii="Aptos" w:hAnsi="Aptos" w:cstheme="minorHAnsi"/>
        </w:rPr>
        <w:t>,</w:t>
      </w:r>
      <w:r w:rsidRPr="00A77F06">
        <w:rPr>
          <w:rFonts w:ascii="Aptos" w:hAnsi="Aptos" w:cstheme="minorHAnsi"/>
        </w:rPr>
        <w:t xml:space="preserve"> as appropriate. Pearson correlation was used for bivariate analyses. Comparisons across multiple conditions or time points were made using two-way ANOVA, repeated-measures one-way ANOVA, or mixed-effects models, with Bonferroni correction applied for multiple comparisons. A p-value &lt; 0.05 was considered statistically significant. Significant results are indicated by asterisks on figures or bold text in tables.</w:t>
      </w:r>
    </w:p>
    <w:p w14:paraId="604EB169" w14:textId="77777777" w:rsidR="00C27F0F" w:rsidRPr="00200CF1" w:rsidRDefault="00C27F0F" w:rsidP="00FF26A4"/>
    <w:sectPr w:rsidR="00C27F0F" w:rsidRPr="00200CF1" w:rsidSect="00A450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079"/>
    <w:rsid w:val="000323D9"/>
    <w:rsid w:val="00036701"/>
    <w:rsid w:val="0004214B"/>
    <w:rsid w:val="000659DC"/>
    <w:rsid w:val="00082259"/>
    <w:rsid w:val="00116E02"/>
    <w:rsid w:val="00154A46"/>
    <w:rsid w:val="00173FF4"/>
    <w:rsid w:val="00180FCE"/>
    <w:rsid w:val="00200CF1"/>
    <w:rsid w:val="00221810"/>
    <w:rsid w:val="00261F42"/>
    <w:rsid w:val="002966FD"/>
    <w:rsid w:val="002A2C29"/>
    <w:rsid w:val="002D1028"/>
    <w:rsid w:val="002E5F82"/>
    <w:rsid w:val="003078CB"/>
    <w:rsid w:val="003767E0"/>
    <w:rsid w:val="003776F7"/>
    <w:rsid w:val="003A1676"/>
    <w:rsid w:val="003C302B"/>
    <w:rsid w:val="00413066"/>
    <w:rsid w:val="0043767A"/>
    <w:rsid w:val="00440F34"/>
    <w:rsid w:val="004556C4"/>
    <w:rsid w:val="00474B31"/>
    <w:rsid w:val="004E7304"/>
    <w:rsid w:val="00523AFE"/>
    <w:rsid w:val="005300BB"/>
    <w:rsid w:val="00566D63"/>
    <w:rsid w:val="00586BED"/>
    <w:rsid w:val="00595C36"/>
    <w:rsid w:val="00596DB4"/>
    <w:rsid w:val="005D5A42"/>
    <w:rsid w:val="00627E3C"/>
    <w:rsid w:val="0065665C"/>
    <w:rsid w:val="006A357D"/>
    <w:rsid w:val="00714CFD"/>
    <w:rsid w:val="007421D0"/>
    <w:rsid w:val="0077696A"/>
    <w:rsid w:val="007C760D"/>
    <w:rsid w:val="007D36FC"/>
    <w:rsid w:val="007F6EF9"/>
    <w:rsid w:val="0081108B"/>
    <w:rsid w:val="00884056"/>
    <w:rsid w:val="00893B11"/>
    <w:rsid w:val="008C016E"/>
    <w:rsid w:val="008F6E8A"/>
    <w:rsid w:val="009114F8"/>
    <w:rsid w:val="00962C65"/>
    <w:rsid w:val="00985F7B"/>
    <w:rsid w:val="009A5E38"/>
    <w:rsid w:val="009C4EB2"/>
    <w:rsid w:val="009C60A4"/>
    <w:rsid w:val="009D10E2"/>
    <w:rsid w:val="009E0D9E"/>
    <w:rsid w:val="00A06B5A"/>
    <w:rsid w:val="00A45079"/>
    <w:rsid w:val="00A61209"/>
    <w:rsid w:val="00A7218D"/>
    <w:rsid w:val="00A76A55"/>
    <w:rsid w:val="00AD2008"/>
    <w:rsid w:val="00AF09E5"/>
    <w:rsid w:val="00AF3E4C"/>
    <w:rsid w:val="00B11359"/>
    <w:rsid w:val="00B41F62"/>
    <w:rsid w:val="00B43898"/>
    <w:rsid w:val="00BA19E1"/>
    <w:rsid w:val="00BB6627"/>
    <w:rsid w:val="00BC780F"/>
    <w:rsid w:val="00C149C2"/>
    <w:rsid w:val="00C27F0F"/>
    <w:rsid w:val="00C673DE"/>
    <w:rsid w:val="00C948E7"/>
    <w:rsid w:val="00CF0BBA"/>
    <w:rsid w:val="00D0334F"/>
    <w:rsid w:val="00D16597"/>
    <w:rsid w:val="00D24B9F"/>
    <w:rsid w:val="00D9424A"/>
    <w:rsid w:val="00D951CC"/>
    <w:rsid w:val="00DD5AD2"/>
    <w:rsid w:val="00DE6C20"/>
    <w:rsid w:val="00E50FD6"/>
    <w:rsid w:val="00EB0BBD"/>
    <w:rsid w:val="00EF4176"/>
    <w:rsid w:val="00F0221F"/>
    <w:rsid w:val="00F10D12"/>
    <w:rsid w:val="00F74003"/>
    <w:rsid w:val="00F76F28"/>
    <w:rsid w:val="00FD7204"/>
    <w:rsid w:val="00FF26A4"/>
    <w:rsid w:val="18907F28"/>
    <w:rsid w:val="21EDB1F3"/>
    <w:rsid w:val="324FEEA1"/>
    <w:rsid w:val="3408D3C1"/>
    <w:rsid w:val="4C89EE12"/>
    <w:rsid w:val="4D654F76"/>
    <w:rsid w:val="50B6907C"/>
    <w:rsid w:val="511E59B8"/>
    <w:rsid w:val="511FC499"/>
    <w:rsid w:val="5289DFEE"/>
    <w:rsid w:val="56AA5E8B"/>
    <w:rsid w:val="585EA1BD"/>
    <w:rsid w:val="5B0F238C"/>
    <w:rsid w:val="5E9B65BB"/>
    <w:rsid w:val="64A26063"/>
    <w:rsid w:val="6644A69F"/>
    <w:rsid w:val="74002566"/>
    <w:rsid w:val="7BF89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8ADFD"/>
  <w15:chartTrackingRefBased/>
  <w15:docId w15:val="{E61FEA82-8F89-CC44-8326-AB515992D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5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0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0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0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0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0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0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0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0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0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0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079"/>
    <w:rPr>
      <w:rFonts w:eastAsiaTheme="majorEastAsia" w:cstheme="majorBidi"/>
      <w:color w:val="272727" w:themeColor="text1" w:themeTint="D8"/>
    </w:rPr>
  </w:style>
  <w:style w:type="paragraph" w:styleId="Title">
    <w:name w:val="Title"/>
    <w:basedOn w:val="Normal"/>
    <w:next w:val="Normal"/>
    <w:link w:val="TitleChar"/>
    <w:uiPriority w:val="10"/>
    <w:qFormat/>
    <w:rsid w:val="00A45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0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079"/>
    <w:pPr>
      <w:spacing w:before="160"/>
      <w:jc w:val="center"/>
    </w:pPr>
    <w:rPr>
      <w:i/>
      <w:iCs/>
      <w:color w:val="404040" w:themeColor="text1" w:themeTint="BF"/>
    </w:rPr>
  </w:style>
  <w:style w:type="character" w:customStyle="1" w:styleId="QuoteChar">
    <w:name w:val="Quote Char"/>
    <w:basedOn w:val="DefaultParagraphFont"/>
    <w:link w:val="Quote"/>
    <w:uiPriority w:val="29"/>
    <w:rsid w:val="00A45079"/>
    <w:rPr>
      <w:i/>
      <w:iCs/>
      <w:color w:val="404040" w:themeColor="text1" w:themeTint="BF"/>
    </w:rPr>
  </w:style>
  <w:style w:type="paragraph" w:styleId="ListParagraph">
    <w:name w:val="List Paragraph"/>
    <w:basedOn w:val="Normal"/>
    <w:uiPriority w:val="34"/>
    <w:qFormat/>
    <w:rsid w:val="00A45079"/>
    <w:pPr>
      <w:ind w:left="720"/>
      <w:contextualSpacing/>
    </w:pPr>
  </w:style>
  <w:style w:type="character" w:styleId="IntenseEmphasis">
    <w:name w:val="Intense Emphasis"/>
    <w:basedOn w:val="DefaultParagraphFont"/>
    <w:uiPriority w:val="21"/>
    <w:qFormat/>
    <w:rsid w:val="00A45079"/>
    <w:rPr>
      <w:i/>
      <w:iCs/>
      <w:color w:val="0F4761" w:themeColor="accent1" w:themeShade="BF"/>
    </w:rPr>
  </w:style>
  <w:style w:type="paragraph" w:styleId="IntenseQuote">
    <w:name w:val="Intense Quote"/>
    <w:basedOn w:val="Normal"/>
    <w:next w:val="Normal"/>
    <w:link w:val="IntenseQuoteChar"/>
    <w:uiPriority w:val="30"/>
    <w:qFormat/>
    <w:rsid w:val="00A45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079"/>
    <w:rPr>
      <w:i/>
      <w:iCs/>
      <w:color w:val="0F4761" w:themeColor="accent1" w:themeShade="BF"/>
    </w:rPr>
  </w:style>
  <w:style w:type="character" w:styleId="IntenseReference">
    <w:name w:val="Intense Reference"/>
    <w:basedOn w:val="DefaultParagraphFont"/>
    <w:uiPriority w:val="32"/>
    <w:qFormat/>
    <w:rsid w:val="00A45079"/>
    <w:rPr>
      <w:b/>
      <w:bCs/>
      <w:smallCaps/>
      <w:color w:val="0F4761" w:themeColor="accent1" w:themeShade="BF"/>
      <w:spacing w:val="5"/>
    </w:rPr>
  </w:style>
  <w:style w:type="character" w:styleId="CommentReference">
    <w:name w:val="annotation reference"/>
    <w:basedOn w:val="DefaultParagraphFont"/>
    <w:uiPriority w:val="99"/>
    <w:semiHidden/>
    <w:unhideWhenUsed/>
    <w:rsid w:val="00200CF1"/>
    <w:rPr>
      <w:sz w:val="16"/>
      <w:szCs w:val="16"/>
    </w:rPr>
  </w:style>
  <w:style w:type="paragraph" w:styleId="CommentText">
    <w:name w:val="annotation text"/>
    <w:basedOn w:val="Normal"/>
    <w:link w:val="CommentTextChar"/>
    <w:uiPriority w:val="99"/>
    <w:semiHidden/>
    <w:unhideWhenUsed/>
    <w:rsid w:val="00200CF1"/>
    <w:pPr>
      <w:spacing w:line="240" w:lineRule="auto"/>
    </w:pPr>
    <w:rPr>
      <w:sz w:val="20"/>
      <w:szCs w:val="20"/>
    </w:rPr>
  </w:style>
  <w:style w:type="character" w:customStyle="1" w:styleId="CommentTextChar">
    <w:name w:val="Comment Text Char"/>
    <w:basedOn w:val="DefaultParagraphFont"/>
    <w:link w:val="CommentText"/>
    <w:uiPriority w:val="99"/>
    <w:semiHidden/>
    <w:rsid w:val="00200CF1"/>
    <w:rPr>
      <w:sz w:val="20"/>
      <w:szCs w:val="20"/>
    </w:rPr>
  </w:style>
  <w:style w:type="paragraph" w:styleId="CommentSubject">
    <w:name w:val="annotation subject"/>
    <w:basedOn w:val="CommentText"/>
    <w:next w:val="CommentText"/>
    <w:link w:val="CommentSubjectChar"/>
    <w:uiPriority w:val="99"/>
    <w:semiHidden/>
    <w:unhideWhenUsed/>
    <w:rsid w:val="00200CF1"/>
    <w:rPr>
      <w:b/>
      <w:bCs/>
    </w:rPr>
  </w:style>
  <w:style w:type="character" w:customStyle="1" w:styleId="CommentSubjectChar">
    <w:name w:val="Comment Subject Char"/>
    <w:basedOn w:val="CommentTextChar"/>
    <w:link w:val="CommentSubject"/>
    <w:uiPriority w:val="99"/>
    <w:semiHidden/>
    <w:rsid w:val="00200C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79D90DE0E0FB4E8E1A4B6021276997" ma:contentTypeVersion="20" ma:contentTypeDescription="Create a new document." ma:contentTypeScope="" ma:versionID="8fbc076e3dfd508916a0d5e17c3d04fa">
  <xsd:schema xmlns:xsd="http://www.w3.org/2001/XMLSchema" xmlns:xs="http://www.w3.org/2001/XMLSchema" xmlns:p="http://schemas.microsoft.com/office/2006/metadata/properties" xmlns:ns2="a3643030-dfd4-4b90-b944-213a4588de82" xmlns:ns3="480581df-b8fd-47c0-b9bc-0c5da8809d16" targetNamespace="http://schemas.microsoft.com/office/2006/metadata/properties" ma:root="true" ma:fieldsID="b312a51c87ffc48e66b22e391fe61d58" ns2:_="" ns3:_="">
    <xsd:import namespace="a3643030-dfd4-4b90-b944-213a4588de82"/>
    <xsd:import namespace="480581df-b8fd-47c0-b9bc-0c5da8809d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Note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43030-dfd4-4b90-b944-213a4588d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3f7c956-802a-45ac-b2ba-cc78506785f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Notes" ma:index="25" nillable="true" ma:displayName="Notes" ma:description="This file contains" ma:format="Dropdown" ma:internalName="Note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0581df-b8fd-47c0-b9bc-0c5da8809d1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8e47ba5-2618-40e4-965a-c0b460dd24f6}" ma:internalName="TaxCatchAll" ma:showField="CatchAllData" ma:web="480581df-b8fd-47c0-b9bc-0c5da8809d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a3643030-dfd4-4b90-b944-213a4588de82" xsi:nil="true"/>
    <lcf76f155ced4ddcb4097134ff3c332f xmlns="a3643030-dfd4-4b90-b944-213a4588de82">
      <Terms xmlns="http://schemas.microsoft.com/office/infopath/2007/PartnerControls"/>
    </lcf76f155ced4ddcb4097134ff3c332f>
    <TaxCatchAll xmlns="480581df-b8fd-47c0-b9bc-0c5da8809d16" xsi:nil="true"/>
  </documentManagement>
</p:properties>
</file>

<file path=customXml/itemProps1.xml><?xml version="1.0" encoding="utf-8"?>
<ds:datastoreItem xmlns:ds="http://schemas.openxmlformats.org/officeDocument/2006/customXml" ds:itemID="{357C9803-18C2-49C7-8D5A-549E42ABFB00}">
  <ds:schemaRefs>
    <ds:schemaRef ds:uri="http://schemas.microsoft.com/sharepoint/v3/contenttype/forms"/>
  </ds:schemaRefs>
</ds:datastoreItem>
</file>

<file path=customXml/itemProps2.xml><?xml version="1.0" encoding="utf-8"?>
<ds:datastoreItem xmlns:ds="http://schemas.openxmlformats.org/officeDocument/2006/customXml" ds:itemID="{8A5CBB66-C65F-4B21-A29C-FDC6F2FB7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43030-dfd4-4b90-b944-213a4588de82"/>
    <ds:schemaRef ds:uri="480581df-b8fd-47c0-b9bc-0c5da8809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BCD58F-09F3-4D9D-9E16-FDD8438FCBC4}">
  <ds:schemaRefs>
    <ds:schemaRef ds:uri="http://schemas.microsoft.com/office/2006/metadata/properties"/>
    <ds:schemaRef ds:uri="http://schemas.microsoft.com/office/infopath/2007/PartnerControls"/>
    <ds:schemaRef ds:uri="a3643030-dfd4-4b90-b944-213a4588de82"/>
    <ds:schemaRef ds:uri="480581df-b8fd-47c0-b9bc-0c5da8809d1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2757</Words>
  <Characters>15721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Maclaine Parish</dc:creator>
  <cp:keywords/>
  <dc:description/>
  <cp:lastModifiedBy>Sabra Klein</cp:lastModifiedBy>
  <cp:revision>3</cp:revision>
  <dcterms:created xsi:type="dcterms:W3CDTF">2026-09-07T01:54:00Z</dcterms:created>
  <dcterms:modified xsi:type="dcterms:W3CDTF">2026-09-07T01:55:00Z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0x010100F679D90DE0E0FB4E8E1A4B6021276997</vt:lpwstr>
  </property>
  <property fmtid="{D5CDD505-2E9C-101B-9397-08002B2CF9AE}" pid="3" name="MediaServiceImageTags">
    <vt:lpwstr/>
  </property>
</Properties>
</file>