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8C258" w14:textId="77777777" w:rsidR="00304B51" w:rsidRDefault="003000B8">
      <w:pPr>
        <w:spacing w:before="280" w:after="80"/>
      </w:pPr>
      <w:r>
        <w:rPr>
          <w:b/>
          <w:sz w:val="30"/>
        </w:rPr>
        <w:t>Additional file 1: Extended methods</w:t>
      </w:r>
    </w:p>
    <w:p w14:paraId="7D589244" w14:textId="77777777" w:rsidR="00304B51" w:rsidRDefault="003000B8">
      <w:r>
        <w:t>This file provides the methodological detail that could not be accommodated in the main text. It documents the structure of the survey instrument, the response formats and scales, the mapping of survey items to the theoretical frameworks, the CFIR constructs selected and the reasoning behind that selection, the reclassification of professional roles, and the technical detail of the scale transformation, subgroup construction and aggregation procedures. It is intended to allow the analysis to be appraised and reproduced. Nothing in this file supersedes the main text; where the two overlap, this file adds detail rather than altering a decision. The rationale, consequence and trade-off of each analytical decision are recorded separately in the analytical audit trail (Additional file 3), and the survey instrument itself is reproduced in Additional file 2.</w:t>
      </w:r>
    </w:p>
    <w:p w14:paraId="49F041F3" w14:textId="77777777" w:rsidR="00304B51" w:rsidRDefault="003000B8">
      <w:pPr>
        <w:spacing w:before="280" w:after="80"/>
      </w:pPr>
      <w:r>
        <w:rPr>
          <w:b/>
          <w:sz w:val="24"/>
        </w:rPr>
        <w:t>1. Recruitment and distribution</w:t>
      </w:r>
    </w:p>
    <w:p w14:paraId="211EDBE0" w14:textId="77777777" w:rsidR="00304B51" w:rsidRDefault="003000B8">
      <w:r>
        <w:t>To the authors’ knowledge, no national registry identifies clinically active radiologists in Sweden together with their professional roles and subspecialties. Recruitment therefore used purposive criterion sampling through the professional network of the Swedish Society of Medical Radiology (SFMR).</w:t>
      </w:r>
    </w:p>
    <w:p w14:paraId="37E5D6A0" w14:textId="77777777" w:rsidR="00304B51" w:rsidRDefault="003000B8">
      <w:r>
        <w:t>The survey was distributed nationally in three sequential mailings to the society’s network of radiology department heads, on 3 August, 19 August and 24 October 2025, with instructions to forward the survey to radiologists within their respective departments. The study was additionally presented at the national radiology conference Röntgenveckan in September 2025.</w:t>
      </w:r>
    </w:p>
    <w:p w14:paraId="07677F16" w14:textId="77777777" w:rsidR="00304B51" w:rsidRDefault="003000B8">
      <w:r>
        <w:t>Because the total number of radiologists reached through this cascaded distribution cannot be ascertained, the size of the target population is unknown and no formal response rate can be calculated. This is stated as a limitation in the main text.</w:t>
      </w:r>
    </w:p>
    <w:p w14:paraId="288322FF" w14:textId="77777777" w:rsidR="00304B51" w:rsidRDefault="003000B8">
      <w:pPr>
        <w:spacing w:before="280" w:after="80"/>
      </w:pPr>
      <w:r>
        <w:rPr>
          <w:b/>
          <w:sz w:val="24"/>
        </w:rPr>
        <w:t>2. Structure of the survey instrument</w:t>
      </w:r>
    </w:p>
    <w:p w14:paraId="49E2465C" w14:textId="77777777" w:rsidR="00304B51" w:rsidRDefault="003000B8">
      <w:r>
        <w:t>The survey consisted of 29 questions. Several questions used a matrix format in which one response scale was applied across multiple statement items, so the number of individual items is considerably greater than the number of questions. Throughout the manuscript, "item" refers to a single rated statement and "question" to the survey question containing it.</w:t>
      </w:r>
    </w:p>
    <w:p w14:paraId="08B21A55" w14:textId="77777777" w:rsidR="00304B51" w:rsidRDefault="003000B8">
      <w:r>
        <w:t>The instrument was organised around one principal branching question that separated respondents according to the implementation status of structured reporting templates at their department. Regardless of branch, all respondents first completed a shared set of five demographic and screening questions covering professional role and work setting, followed by the principal branching question. At the end of the survey, all respondents answered two shared closing questions.</w:t>
      </w:r>
    </w:p>
    <w:p w14:paraId="33A8D95D" w14:textId="77777777" w:rsidR="00304B51" w:rsidRDefault="003000B8">
      <w:r>
        <w:t>Beyond this shared core, the branching logic routed respondents into two analytical branches, each subdivided into two subgroups. The same separation is mirrored in the presentation of the Results.</w:t>
      </w:r>
    </w:p>
    <w:p w14:paraId="6FA79E3F" w14:textId="77777777" w:rsidR="00304B51" w:rsidRDefault="003000B8">
      <w:pPr>
        <w:pStyle w:val="Punktlista"/>
        <w:spacing w:after="40"/>
      </w:pPr>
      <w:r>
        <w:t xml:space="preserve">Branch 1, active users, whose department uses structured reporting templates. This branch received a branch-specific battery of 17 questions addressing perceived effects on clinical work (Service Outcomes), perceived barriers and facilitators (determinants), and Implementation </w:t>
      </w:r>
      <w:r>
        <w:lastRenderedPageBreak/>
        <w:t>Outcomes. Subgroup 1a comprises users whose templates include colorectal cancer reporting and subgroup 1b users whose templates do not.</w:t>
      </w:r>
    </w:p>
    <w:p w14:paraId="0C6ED272" w14:textId="77777777" w:rsidR="00304B51" w:rsidRDefault="003000B8">
      <w:pPr>
        <w:pStyle w:val="Punktlista"/>
        <w:spacing w:after="40"/>
      </w:pPr>
      <w:r>
        <w:t>Branch 2, non-users, whose department does not use structured reporting templates. This branch received a branch-specific battery of four questions addressing perceived barriers to future adoption and self-reported readiness to implement. Subgroup 2a comprises departments planning to implement and subgroup 2b departments with no current plans.</w:t>
      </w:r>
    </w:p>
    <w:p w14:paraId="79580B33" w14:textId="77777777" w:rsidR="00600C0D" w:rsidRDefault="00600C0D"/>
    <w:p w14:paraId="128C2720" w14:textId="02F12D00" w:rsidR="00304B51" w:rsidRDefault="003000B8">
      <w:r>
        <w:t>A small number of conditional follow-up questions were triggered for individual respondents depending on earlier answers. The most substantial of these was a conditional barrier battery. One filter item asked all active users whether barriers or resistance to the use of the templates had been experienced at their department, with the response options yes, no and do not know. The twelve active users who answered yes received a follow-up battery on the nature of those barriers, which covered some constructs that were not presented to the branch as a whole.</w:t>
      </w:r>
    </w:p>
    <w:p w14:paraId="6B8E69D5" w14:textId="77777777" w:rsidR="00304B51" w:rsidRDefault="003000B8">
      <w:r>
        <w:t>This conditional battery is not reported in the main text. The group is small, and when it is stratified by professional role the cells fall to between two and seven respondents, below the level at which this study reports comparative figures. The main text therefore draws its determinant estimates only from items answered by the full active-user population (n=33), so that every determinant proportion rests on a single denominator and the branch is described without conditioning on a prior answer. The battery is nevertheless reported in full in Additional file 4 (Tables S4 and S5), so that it can be inspected and its omission from the main text verified rather than assumed. The decision and its trade-off are recorded in the analytical audit trail (Additional file 3, decision A6).</w:t>
      </w:r>
    </w:p>
    <w:p w14:paraId="517F0EA2" w14:textId="77777777" w:rsidR="00304B51" w:rsidRDefault="003000B8">
      <w:r>
        <w:t>The participant flow through the branches, including the exclusion of one respondent from the determinant and outcome analyses, is shown in Fig. 2 of the main text.</w:t>
      </w:r>
    </w:p>
    <w:p w14:paraId="25C5A395" w14:textId="77777777" w:rsidR="00304B51" w:rsidRDefault="003000B8">
      <w:r>
        <w:t>The two branch-specific batteries were tailored to the situation of each group and therefore did not cover identical sets of constructs. Barrier and facilitator items common to both branches permit direct comparison between users and non-users; items present in only one branch do not. The resulting asymmetry, and its consequences for cross-branch comparison, are set out in section 9 and in the limitations of the main text.</w:t>
      </w:r>
    </w:p>
    <w:p w14:paraId="2A21645F" w14:textId="77777777" w:rsidR="00304B51" w:rsidRDefault="003000B8">
      <w:pPr>
        <w:spacing w:before="280" w:after="80"/>
      </w:pPr>
      <w:r>
        <w:rPr>
          <w:b/>
          <w:sz w:val="24"/>
        </w:rPr>
        <w:t>3. Question formats and response scales</w:t>
      </w:r>
    </w:p>
    <w:p w14:paraId="5E1450CC" w14:textId="77777777" w:rsidR="00304B51" w:rsidRDefault="003000B8">
      <w:r>
        <w:t>Four question formats were used, each chosen to match the analytical purpose of the question.</w:t>
      </w:r>
    </w:p>
    <w:p w14:paraId="7DBB72D1" w14:textId="1A8673B5" w:rsidR="00304B51" w:rsidRDefault="00DD71F1">
      <w:pPr>
        <w:pStyle w:val="Punktlista"/>
        <w:spacing w:after="40"/>
      </w:pPr>
      <w:r w:rsidRPr="00DD71F1">
        <w:t>Five-point unipolar Likert scales for determinant strength and for Implementation Outcomes. For determinants, the anchor wording followed the block: facilitators were rated as contributions, from 'Not contributing at all' to 'Very strongly contributing', in both branches; barriers were rated as challenges by active users, from 'No challenge at all' to 'Very large challenge', as barriers in the conditional battery described in section 2, from 'No barrier at all' to 'Very large barrier', and as reasons for non-implementation by non-users, from 'No reason at all' to 'Very large reason'. Each table reports the wording of the block it draws on. Implementation Outcomes ran from 'Very low' to 'Very high'.</w:t>
      </w:r>
    </w:p>
    <w:p w14:paraId="1B30CA38" w14:textId="5833E206" w:rsidR="00304B51" w:rsidRDefault="008C655E">
      <w:pPr>
        <w:pStyle w:val="Punktlista"/>
        <w:spacing w:after="40"/>
      </w:pPr>
      <w:r w:rsidRPr="008C655E">
        <w:t>Five-point bipolar items for Service Outcomes, running from 'Strongly worsened' through 'Unchanged' to 'Strongly improved'</w:t>
      </w:r>
      <w:r w:rsidR="003000B8">
        <w:t>.</w:t>
      </w:r>
    </w:p>
    <w:p w14:paraId="39CA776C" w14:textId="77777777" w:rsidR="00304B51" w:rsidRDefault="003000B8">
      <w:pPr>
        <w:pStyle w:val="Punktlista"/>
        <w:spacing w:after="40"/>
      </w:pPr>
      <w:r>
        <w:lastRenderedPageBreak/>
        <w:t>Single-choice and multiple-choice categorical items, for example the item capturing how the rollout was carried out (Table 3 of the main text).</w:t>
      </w:r>
    </w:p>
    <w:p w14:paraId="2754431A" w14:textId="77777777" w:rsidR="00304B51" w:rsidRDefault="003000B8">
      <w:pPr>
        <w:pStyle w:val="Punktlista"/>
        <w:spacing w:after="40"/>
      </w:pPr>
      <w:r>
        <w:t>Open-ended free-text fields placed after certain questions, or after batteries of questions, to capture context, examples and reasoning.</w:t>
      </w:r>
    </w:p>
    <w:p w14:paraId="669F0041" w14:textId="77777777" w:rsidR="00304B51" w:rsidRDefault="003000B8">
      <w:pPr>
        <w:spacing w:before="280" w:after="80"/>
      </w:pPr>
      <w:r>
        <w:rPr>
          <w:b/>
          <w:sz w:val="24"/>
        </w:rPr>
        <w:t>4. Mapping of survey items to theoretical frameworks</w:t>
      </w:r>
    </w:p>
    <w:p w14:paraId="7CD9A636" w14:textId="77777777" w:rsidR="00304B51" w:rsidRDefault="003000B8">
      <w:r>
        <w:t>All survey questions and items were developed from a clinical and operational perspective and phrased so that respondents working in a radiology setting could understand and answer them without prior knowledge of implementation science or its frameworks. Following data collection, each response value targeting a determinant or an outcome was mapped to the corresponding construct or outcome in an established theory, model or framework.</w:t>
      </w:r>
    </w:p>
    <w:p w14:paraId="44CA5556" w14:textId="77777777" w:rsidR="00304B51" w:rsidRDefault="003000B8">
      <w:r>
        <w:t>The CFIR domains and constructs were used for determinants, that is barriers and facilitators, and the Proctor taxonomy for the outcome categories, that is Service Outcomes and Implementation Outcomes. Free-text fields were not mapped; they were used to triangulate and contextualise the quantitative findings. The item-to-construct mapping is documented in the analytical audit trail (Additional file 3).</w:t>
      </w:r>
    </w:p>
    <w:p w14:paraId="2138977D" w14:textId="77777777" w:rsidR="00304B51" w:rsidRDefault="003000B8">
      <w:pPr>
        <w:spacing w:before="280" w:after="80"/>
      </w:pPr>
      <w:r>
        <w:rPr>
          <w:b/>
          <w:sz w:val="24"/>
        </w:rPr>
        <w:t>5. CFIR constructs selected</w:t>
      </w:r>
    </w:p>
    <w:p w14:paraId="131868AF" w14:textId="77777777" w:rsidR="00304B51" w:rsidRDefault="003000B8">
      <w:r>
        <w:t>The updated CFIR comprises 48 constructs and 19 subconstructs across five domains. Covering all of them in a single survey is neither practical nor methodologically desirable. A subset of constructs judged most relevant to the implementation of structured reporting templates in a radiology context was therefore used, drawn from four of the five domains.</w:t>
      </w:r>
    </w:p>
    <w:p w14:paraId="2A74C5FC" w14:textId="77777777" w:rsidR="00304B51" w:rsidRDefault="003000B8">
      <w:pPr>
        <w:spacing w:before="200" w:after="80"/>
      </w:pPr>
      <w:r>
        <w:rPr>
          <w:b/>
        </w:rPr>
        <w:t>5.1 Constructs applied</w:t>
      </w:r>
    </w:p>
    <w:p w14:paraId="5CDC282A" w14:textId="77777777" w:rsidR="00304B51" w:rsidRDefault="003000B8">
      <w:pPr>
        <w:pStyle w:val="Punktlista"/>
        <w:spacing w:after="40"/>
      </w:pPr>
      <w:r>
        <w:t>Outer Setting: Policies and Laws; Partnerships and Connections.</w:t>
      </w:r>
    </w:p>
    <w:p w14:paraId="04FDC860" w14:textId="77777777" w:rsidR="00304B51" w:rsidRDefault="003000B8">
      <w:pPr>
        <w:pStyle w:val="Punktlista"/>
        <w:spacing w:after="40"/>
      </w:pPr>
      <w:r>
        <w:t>Innovation: Innovation Relative Advantage; Innovation Design; Innovation Adaptability; Innovation Evidence Base; Innovation Cost.</w:t>
      </w:r>
    </w:p>
    <w:p w14:paraId="16FCBAAF" w14:textId="77777777" w:rsidR="00304B51" w:rsidRDefault="003000B8">
      <w:pPr>
        <w:pStyle w:val="Punktlista"/>
        <w:spacing w:after="40"/>
      </w:pPr>
      <w:r>
        <w:t>Inner Setting: Compatibility; Access to Knowledge &amp; Information; IT Infrastructure (a subconstruct of Structural Characteristics); Relative Priority; Incentive Systems.</w:t>
      </w:r>
    </w:p>
    <w:p w14:paraId="78927AB3" w14:textId="77777777" w:rsidR="00304B51" w:rsidRDefault="003000B8">
      <w:pPr>
        <w:pStyle w:val="Punktlista"/>
        <w:spacing w:after="40"/>
      </w:pPr>
      <w:r>
        <w:t>Individuals: High-/Mid-level Leaders; Implementation Leads; Other Implementation Support; and the Motivation and Need subconstructs of the Characteristics subdomain.</w:t>
      </w:r>
    </w:p>
    <w:p w14:paraId="267A2EE6" w14:textId="77777777" w:rsidR="00304B51" w:rsidRDefault="003000B8">
      <w:r>
        <w:t>Two further constructs were presented only within the conditional barrier battery described in section 2, and therefore appear only in Additional file 4 (Tables S4 and S5) and not in the determinant analysis of the main text: Culture: Recipient-Centeredness, and the Opportunity subconstruct of the Characteristics subdomain. They are listed here so that the construct set of the instrument is stated in full.</w:t>
      </w:r>
    </w:p>
    <w:p w14:paraId="1261393E" w14:textId="77777777" w:rsidR="00304B51" w:rsidRDefault="003000B8">
      <w:r>
        <w:t>Not every construct was presented to both branches. The construct sets presented to active users and to non-users, and the overlap between them, are set out in section 9.</w:t>
      </w:r>
    </w:p>
    <w:p w14:paraId="3865E96C" w14:textId="77777777" w:rsidR="00304B51" w:rsidRDefault="003000B8">
      <w:pPr>
        <w:spacing w:before="200" w:after="80"/>
      </w:pPr>
      <w:r>
        <w:rPr>
          <w:b/>
        </w:rPr>
        <w:t>5.2 The Implementation Process domain</w:t>
      </w:r>
    </w:p>
    <w:p w14:paraId="38B8B318" w14:textId="77777777" w:rsidR="00304B51" w:rsidRDefault="003000B8">
      <w:r>
        <w:t xml:space="preserve">The fifth domain, Implementation Process, was not operationalised. Its constructs are designed to capture the extent to which specific process activities, such as Teaming, Tailoring Strategies, or Reflecting and Evaluating, take place during a defined implementation effort within a defined Inner </w:t>
      </w:r>
      <w:r>
        <w:lastRenderedPageBreak/>
        <w:t>Setting. This study is a national cross-sectional survey of radiologists working at heterogeneous departments, in which different templates have been introduced at different times by different stakeholders. These conditions do not permit the meaningful assessment that the Implementation Process constructs require.</w:t>
      </w:r>
    </w:p>
    <w:p w14:paraId="20BB77E9" w14:textId="77777777" w:rsidR="00304B51" w:rsidRDefault="003000B8">
      <w:r>
        <w:t>Instead, a single categorical item captured how the rollout at each department was carried out, for example champion-driven, stepwise rollout, or pilot followed by scale-up. This item describes what departments did; it is not framed as an implementation strategy, a term reserved throughout the manuscript for the ERIC-based recommendations.</w:t>
      </w:r>
    </w:p>
    <w:p w14:paraId="52F3F777" w14:textId="77777777" w:rsidR="00304B51" w:rsidRDefault="003000B8">
      <w:pPr>
        <w:spacing w:before="280" w:after="80"/>
      </w:pPr>
      <w:r>
        <w:rPr>
          <w:b/>
          <w:sz w:val="24"/>
        </w:rPr>
        <w:t>6. Proctor outcomes: operationalisation</w:t>
      </w:r>
    </w:p>
    <w:p w14:paraId="7469778E" w14:textId="77777777" w:rsidR="00304B51" w:rsidRDefault="003000B8">
      <w:r>
        <w:t>Two of the three layers of Proctor’s Implementation Outcomes Framework were applied. The CFIR Outcomes Addendum was used as a complement when cross-referencing determinants to outcomes, but the Proctor classification is used throughout for clarity and for direct comparability with the body of implementation research that has applied the original taxonomy.</w:t>
      </w:r>
    </w:p>
    <w:p w14:paraId="0D1C6EF0" w14:textId="77777777" w:rsidR="00304B51" w:rsidRDefault="003000B8">
      <w:pPr>
        <w:spacing w:before="200" w:after="80"/>
      </w:pPr>
      <w:r>
        <w:rPr>
          <w:b/>
        </w:rPr>
        <w:t>6.1 Service Outcomes and their constituent items</w:t>
      </w:r>
    </w:p>
    <w:p w14:paraId="16D8937B" w14:textId="77777777" w:rsidR="00304B51" w:rsidRDefault="003000B8">
      <w:r>
        <w:t>Service Outcomes were grouped into four categories, reported in the following order throughout the tables and the Results.</w:t>
      </w:r>
    </w:p>
    <w:p w14:paraId="0D9E8232" w14:textId="77777777" w:rsidR="00304B51" w:rsidRDefault="003000B8">
      <w:pPr>
        <w:pStyle w:val="Punktlista"/>
        <w:spacing w:after="40"/>
      </w:pPr>
      <w:r>
        <w:t>Service Effectiveness: standardisation of reports; completeness of reports; clarity of reports; adherence to national guidelines.</w:t>
      </w:r>
    </w:p>
    <w:p w14:paraId="14F56799" w14:textId="77777777" w:rsidR="00304B51" w:rsidRDefault="003000B8">
      <w:pPr>
        <w:pStyle w:val="Punktlista"/>
        <w:spacing w:after="40"/>
      </w:pPr>
      <w:r>
        <w:t>Service Efficiency: communication with referring physicians; report length; report review time; perceived workload.</w:t>
      </w:r>
    </w:p>
    <w:p w14:paraId="25940B3C" w14:textId="77777777" w:rsidR="00304B51" w:rsidRDefault="003000B8">
      <w:pPr>
        <w:pStyle w:val="Punktlista"/>
        <w:spacing w:after="40"/>
      </w:pPr>
      <w:r>
        <w:t>Service Safety: perceived effect on radiological misinterpretations.</w:t>
      </w:r>
    </w:p>
    <w:p w14:paraId="3B7FCE8B" w14:textId="77777777" w:rsidR="00304B51" w:rsidRDefault="003000B8">
      <w:pPr>
        <w:pStyle w:val="Punktlista"/>
        <w:spacing w:after="40"/>
      </w:pPr>
      <w:r>
        <w:t>Organisational Effectiveness: educational use and supervision; service follow-up and research.</w:t>
      </w:r>
    </w:p>
    <w:p w14:paraId="065450AC" w14:textId="77777777" w:rsidR="00F140AA" w:rsidRDefault="00F140AA"/>
    <w:p w14:paraId="31238ADB" w14:textId="7E00F8C3" w:rsidR="00304B51" w:rsidRDefault="003000B8">
      <w:r>
        <w:t>The first three categories correspond to Proctor’s Service Outcomes layer. The fourth, Organisational Effectiveness, is a study-specific extension that is not part of the original taxonomy. It was introduced because two items had no interpretable place within the first three categories and correspond instead to the Institute of Medicine’s Learning Healthcare System concept. It is labelled as a study-specific category wherever it appears and is presented last.</w:t>
      </w:r>
    </w:p>
    <w:p w14:paraId="3B92BDAA" w14:textId="77777777" w:rsidR="00304B51" w:rsidRDefault="003000B8">
      <w:pPr>
        <w:spacing w:before="200" w:after="80"/>
      </w:pPr>
      <w:r>
        <w:rPr>
          <w:b/>
        </w:rPr>
        <w:t>6.2 Implementation Outcomes</w:t>
      </w:r>
    </w:p>
    <w:p w14:paraId="0782EEE4" w14:textId="77777777" w:rsidR="00304B51" w:rsidRDefault="003000B8">
      <w:r>
        <w:t>Seven outcomes common to Proctor’s framework and the CFIR Outcomes Addendum were assessed: Acceptability, Adoption, Appropriateness, Feasibility, Fidelity, Penetration and Sustainability. Each was measured by a single survey item. Implementation cost was not measured, although Innovation Cost is covered on the determinant side.</w:t>
      </w:r>
    </w:p>
    <w:p w14:paraId="451342EC" w14:textId="77777777" w:rsidR="00304B51" w:rsidRDefault="003000B8">
      <w:pPr>
        <w:spacing w:before="200" w:after="80"/>
      </w:pPr>
      <w:r>
        <w:rPr>
          <w:b/>
        </w:rPr>
        <w:t>6.3 Client Outcomes not applied</w:t>
      </w:r>
    </w:p>
    <w:p w14:paraId="0EFB2404" w14:textId="77777777" w:rsidR="00304B51" w:rsidRDefault="003000B8">
      <w:r>
        <w:t xml:space="preserve">The third Proctor layer, Client Outcomes, captures consequences as perceived by those who ultimately receive or rely on the clinical service, in this context patients undergoing rectal cancer staging and the referring physicians and multidisciplinary teams who base clinical decisions on the template-based report. The survey addressed the radiology domain only and contains no item on </w:t>
      </w:r>
      <w:r>
        <w:lastRenderedPageBreak/>
        <w:t>these downstream outcomes, so this layer was not applied. Two of the three Proctor layers are therefore reported.</w:t>
      </w:r>
    </w:p>
    <w:p w14:paraId="53A15D7B" w14:textId="77777777" w:rsidR="00304B51" w:rsidRDefault="003000B8">
      <w:pPr>
        <w:spacing w:before="280" w:after="80"/>
      </w:pPr>
      <w:r>
        <w:rPr>
          <w:b/>
          <w:sz w:val="24"/>
        </w:rPr>
        <w:t>7. Reclassification of professional role</w:t>
      </w:r>
    </w:p>
    <w:p w14:paraId="708C2214" w14:textId="77777777" w:rsidR="00304B51" w:rsidRDefault="003000B8">
      <w:r>
        <w:t>Professional role was self-reported. Four respondents selected "Other" and supplied clarifying free text. Each was reclassified to an existing category on the basis of stated professional identity and organisational perspective.</w:t>
      </w:r>
    </w:p>
    <w:p w14:paraId="4B0456C5" w14:textId="77777777" w:rsidR="00304B51" w:rsidRDefault="003000B8">
      <w:pPr>
        <w:pStyle w:val="Punktlista"/>
        <w:spacing w:after="40"/>
      </w:pPr>
      <w:r>
        <w:t>Two respondents who explicitly described themselves as general radiologists with additional duties were reclassified to General radiologist.</w:t>
      </w:r>
    </w:p>
    <w:p w14:paraId="0081A700" w14:textId="77777777" w:rsidR="00304B51" w:rsidRDefault="003000B8">
      <w:pPr>
        <w:pStyle w:val="Punktlista"/>
        <w:spacing w:after="40"/>
      </w:pPr>
      <w:r>
        <w:t>One nuclear medicine physician was reclassified to Other subspecialty.</w:t>
      </w:r>
    </w:p>
    <w:p w14:paraId="08F05FE7" w14:textId="77777777" w:rsidR="00304B51" w:rsidRDefault="003000B8">
      <w:pPr>
        <w:pStyle w:val="Punktlista"/>
        <w:spacing w:after="40"/>
      </w:pPr>
      <w:r>
        <w:t>One medical director was reclassified to Department head, since both share the leadership and governance perspective that is central to the CFIR Individuals domain.</w:t>
      </w:r>
    </w:p>
    <w:p w14:paraId="089BDD8A" w14:textId="77777777" w:rsidR="00304B51" w:rsidRDefault="003000B8">
      <w:r>
        <w:t>The four role categories used throughout the analysis are General radiologist (n=23), Abdominal radiologist (n=11), Other subspecialty (n=6) and Department head (n=10), counted across the full sample of 50 respondents.</w:t>
      </w:r>
    </w:p>
    <w:p w14:paraId="5E8EB416" w14:textId="77777777" w:rsidR="00304B51" w:rsidRDefault="003000B8">
      <w:r>
        <w:t>The Department head category was defined by organisational function rather than by clinical subspecialty. Some respondents in this category also reported assessing colorectal cancer examinations, indicating that part of the group combines departmental leadership with clinical reporting rather than representing a purely managerial level. This is stated as a limitation in the main text.</w:t>
      </w:r>
    </w:p>
    <w:p w14:paraId="239F93FC" w14:textId="77777777" w:rsidR="00304B51" w:rsidRDefault="003000B8">
      <w:pPr>
        <w:spacing w:before="280" w:after="80"/>
      </w:pPr>
      <w:r>
        <w:rPr>
          <w:b/>
          <w:sz w:val="24"/>
        </w:rPr>
        <w:t>8. Scale transformation and top-box scoring</w:t>
      </w:r>
    </w:p>
    <w:p w14:paraId="3BFD0091" w14:textId="77777777" w:rsidR="00304B51" w:rsidRDefault="003000B8">
      <w:r>
        <w:t>All five-point Likert scales were collapsed to three ordinal categories, for example "No or small challenge", "Moderate challenge" and "Large or very large challenge". The rationale was twofold.</w:t>
      </w:r>
    </w:p>
    <w:p w14:paraId="740B823B" w14:textId="77777777" w:rsidR="00304B51" w:rsidRDefault="003000B8">
      <w:r>
        <w:t>Statistically, with a total sample of 50 respondents and subgroups as small as four to eight, five-level distributions produce sparse cells, frequently with two or fewer observations, in which a single respondent can shift a category by 12 to 25 percentage points. Percentages derived from such cells are unstable and potentially misleading. Collapsing adjacent sparse categories is an established means of mitigating data sparsity and stabilising cell counts.</w:t>
      </w:r>
    </w:p>
    <w:p w14:paraId="788FFD2D" w14:textId="77777777" w:rsidR="00304B51" w:rsidRDefault="003000B8">
      <w:r>
        <w:t>Methodologically, a valence-based collapse is consistent with established CFIR operational practice, which commonly uses valence and strength ratings, conventionally from -2 to +2 including a neutral 0, to determine whether a construct acts as a barrier or a facilitator, rather than estimating a precise mid-scale value.</w:t>
      </w:r>
    </w:p>
    <w:p w14:paraId="46F0AF58" w14:textId="77777777" w:rsidR="00304B51" w:rsidRDefault="003000B8">
      <w:r>
        <w:t>Top-box scoring, that is the proportion of respondents endorsing the strongest valence category of the collapsed scale, was used as the primary summary statistic for the CFIR determinants, for facilitators and barriers alike. This yields one comparable valence figure per construct and per subgroup. Its trade-off is that moderate responses fall outside the top box, so cumulative support or resistance may be understated.</w:t>
      </w:r>
    </w:p>
    <w:p w14:paraId="1A839086" w14:textId="77777777" w:rsidR="00304B51" w:rsidRDefault="003000B8">
      <w:r>
        <w:t xml:space="preserve">For Service Outcomes the five-point scale was collapsed into the same three categories (Improved, Unchanged, Worsened), but top-box scoring was deliberately not applied. Both extremes of the bipolar scale were retained instead, because a central analytical question in this study is whether the </w:t>
      </w:r>
      <w:r>
        <w:lastRenderedPageBreak/>
        <w:t>innovation simultaneously improves one outcome dimension and worsens another. A top-box presentation would conceal the negative tail and mask that pattern.</w:t>
      </w:r>
    </w:p>
    <w:p w14:paraId="444C1815" w14:textId="77777777" w:rsidR="00304B51" w:rsidRDefault="003000B8">
      <w:pPr>
        <w:spacing w:before="280" w:after="80"/>
      </w:pPr>
      <w:r>
        <w:rPr>
          <w:b/>
          <w:sz w:val="24"/>
        </w:rPr>
        <w:t>9. Construct asymmetry between the two branches</w:t>
      </w:r>
    </w:p>
    <w:p w14:paraId="3644A855" w14:textId="77777777" w:rsidR="00304B51" w:rsidRDefault="003000B8">
      <w:r>
        <w:t>The two branch-specific batteries did not present identical construct sets, and the asymmetry differs between the facilitator side and the barrier side.</w:t>
      </w:r>
    </w:p>
    <w:p w14:paraId="02FAA265" w14:textId="77777777" w:rsidR="00304B51" w:rsidRDefault="003000B8">
      <w:r>
        <w:t>On the facilitator side, the ten constructs presented to active users form a true subset of the thirteen presented to non-users. Every facilitator rated by active users can therefore be compared across branches.</w:t>
      </w:r>
    </w:p>
    <w:p w14:paraId="6434A42D" w14:textId="77777777" w:rsidR="00304B51" w:rsidRDefault="003000B8">
      <w:r>
        <w:t>On the barrier side the overlap is partial. Innovation Design was presented to active users only, whereas Partnerships and Connections, Compatibility and Incentive Systems were presented to non-users only. Barrier comparisons between branches are therefore restricted to the constructs measured in both branches, and are described as partial wherever they are made.</w:t>
      </w:r>
    </w:p>
    <w:p w14:paraId="528B47FD" w14:textId="77777777" w:rsidR="00304B51" w:rsidRDefault="003000B8">
      <w:r>
        <w:t>Domain-level aggregates are not comparable between the two branches at all, since the number and composition of items within each domain differ between the batteries. This constraint is stated in the main text and applies to every domain aggregate reported for non-users.</w:t>
      </w:r>
    </w:p>
    <w:p w14:paraId="44558622" w14:textId="77777777" w:rsidR="00304B51" w:rsidRDefault="003000B8">
      <w:pPr>
        <w:spacing w:before="280" w:after="80"/>
      </w:pPr>
      <w:r>
        <w:rPr>
          <w:b/>
          <w:sz w:val="24"/>
        </w:rPr>
        <w:t>10. Subgroup construction and selection of the independent variable</w:t>
      </w:r>
    </w:p>
    <w:p w14:paraId="20079C4C" w14:textId="77777777" w:rsidR="00304B51" w:rsidRDefault="003000B8">
      <w:r>
        <w:t>Cross-tabulation of professional role against hospital type revealed strong collinearity between the two variables. All 23 general radiologists worked at county or district hospitals and none at university hospitals; conversely, all active users at university hospitals fell into the subspecialist categories, that is abdominal radiologist or other subspecialty. Presenting both variables would have produced near-identical distributions under different headings without adding an analytical dimension. Professional role was therefore selected as the primary independent variable and moderator, since the mechanism of interest is the cognitive demand of the reporting task rather than the hospital classification. The consequence is that organisational effects, such as differences in IT infrastructure between hospital types, cannot be separated from role effects; this is stated as a limitation in the main text.</w:t>
      </w:r>
    </w:p>
    <w:p w14:paraId="5F03D032" w14:textId="77777777" w:rsidR="00304B51" w:rsidRDefault="003000B8">
      <w:r>
        <w:t>Within the role variable, two further decisions were taken for the segmented subgroup analyses.</w:t>
      </w:r>
    </w:p>
    <w:p w14:paraId="3056FE09" w14:textId="2BE234CE" w:rsidR="00304B51" w:rsidRDefault="003000B8">
      <w:r>
        <w:t xml:space="preserve">First, the "Other subspecialty" group (n=3 among active users) was excluded as a comparative role column on two grounds. Statistically, at n=3 each respondent represents 33 percentage points. Clinically, the group is heterogeneous, including for example nuclear medicine, which violates the within-group homogeneity assumption that a role comparison depends on. Their responses were retained in the total column, so no data </w:t>
      </w:r>
      <w:r w:rsidR="00AF2253">
        <w:t>was</w:t>
      </w:r>
      <w:r>
        <w:t xml:space="preserve"> discarded.</w:t>
      </w:r>
    </w:p>
    <w:p w14:paraId="145C5A04" w14:textId="77777777" w:rsidR="00304B51" w:rsidRDefault="003000B8">
      <w:r>
        <w:t>Second, the Department head group (n=4) was retained as a separate comparative role despite its size. Departmental leadership is a central construct within the CFIR Individuals domain; unlike "Other subspecialty" the group is homogeneous in organisational vantage point; and the national population of radiology department heads is small relative to the radiologist workforce, so four respondents cover proportionally more of the target population. Because each respondent represents 25 percentage points, all department-head figures are reported as directional patterns and never as differences.</w:t>
      </w:r>
    </w:p>
    <w:p w14:paraId="35F60E84" w14:textId="77777777" w:rsidR="00304B51" w:rsidRDefault="003000B8">
      <w:r>
        <w:lastRenderedPageBreak/>
        <w:t>A sensitivity analysis merging "Other subspecialty" with abdominal radiologists into a combined subspecialist group (n=11) was considered but not performed, since the merged group would reintroduce the clinical heterogeneity that motivated the exclusion above, making a divergent result uninterpretable. The robustness of the role-related observations therefore rests on n=8 for the abdominal group.</w:t>
      </w:r>
    </w:p>
    <w:p w14:paraId="3B97A73C" w14:textId="77777777" w:rsidR="00304B51" w:rsidRDefault="003000B8">
      <w:pPr>
        <w:spacing w:before="280" w:after="80"/>
      </w:pPr>
      <w:r>
        <w:rPr>
          <w:b/>
          <w:sz w:val="24"/>
        </w:rPr>
        <w:t>11. Aggregation</w:t>
      </w:r>
    </w:p>
    <w:p w14:paraId="43F77500" w14:textId="77777777" w:rsidR="00304B51" w:rsidRDefault="003000B8">
      <w:r>
        <w:t>Category-level aggregation was applied to two of the three analytic blocks, namely the CFIR domains and the Proctor Service Outcomes. Aggregated proportions were calculated by summing the responses across all items within the category and dividing by the total number of item-by-respondent observations. For Service Effectiveness, for example, four items across 33 respondents give 132 possible observations. Where a category is measured by a single item, such as Service Safety, the denominator equals the number of respondents, that is 33.</w:t>
      </w:r>
    </w:p>
    <w:p w14:paraId="0750506E" w14:textId="77777777" w:rsidR="00304B51" w:rsidRDefault="003000B8">
      <w:r>
        <w:t>Normalisation by the number of possible observations is necessary because domains and categories contain different numbers of items. Without it, a domain with more items would appear more influential purely as an artefact of item count. The trade-off is that a high individual construct can be concealed within a low aggregate, as with Innovation Design at 24% inside an Innovation aggregate of 10%. Construct-level figures are therefore always reported alongside the aggregates.</w:t>
      </w:r>
    </w:p>
    <w:p w14:paraId="2F2A2DC1" w14:textId="77777777" w:rsidR="00304B51" w:rsidRDefault="003000B8">
      <w:r>
        <w:t>Implementation Outcomes were not aggregated. Each Proctor outcome was measured by a single item, so the reported proportion is the outcome itself rather than a composite, and a mean across conceptually distinct outcomes would have no interpretation. This asymmetry follows the structure of the survey instrument rather than an analytical inconsistency, and is the reason no overall implementation outcome score appears anywhere in the manuscript.</w:t>
      </w:r>
    </w:p>
    <w:p w14:paraId="002A1BE2" w14:textId="77777777" w:rsidR="00304B51" w:rsidRDefault="003000B8">
      <w:pPr>
        <w:spacing w:before="280" w:after="80"/>
      </w:pPr>
      <w:r>
        <w:rPr>
          <w:b/>
          <w:sz w:val="24"/>
        </w:rPr>
        <w:t>12. Estimation, rounding and reporting conventions</w:t>
      </w:r>
    </w:p>
    <w:p w14:paraId="6A7C6D9D" w14:textId="77777777" w:rsidR="00304B51" w:rsidRDefault="003000B8">
      <w:r>
        <w:t>Wilson score 95% confidence intervals were calculated for every proportion reported as an estimate, including subgroup, domain-aggregated and zero-count proportions. The Wilson interval retains reliable coverage at small sample sizes and at proportions near 0% and 100%, where the Wald interval performs poorly and can produce impossible bounds. Intervals are given in square brackets after the corresponding proportion.</w:t>
      </w:r>
    </w:p>
    <w:p w14:paraId="428608F0" w14:textId="77777777" w:rsidR="00304B51" w:rsidRDefault="003000B8">
      <w:r>
        <w:t>Confidence intervals are not reported for the proportions describing the composition of the achieved sample, since these are descriptive characteristics of the respondents rather than estimates of a population parameter. Because the sample is small, most intervals are wide and overlap; proportions are consequently described as observed values rather than as ranked differences, and no ordering between constructs or subgroups should be inferred from the point estimates alone.</w:t>
      </w:r>
    </w:p>
    <w:p w14:paraId="2B11AC71" w14:textId="77777777" w:rsidR="00304B51" w:rsidRDefault="003000B8">
      <w:r>
        <w:t>All proportions are reported as integer percentages, rounded using round-half-to-even, which avoids the systematic upward bias of round-half-up across a table of many proportions. Some columns therefore do not sum to exactly 100%, and a reader recomputing a figure from the counts may see a one-point difference where a value falls exactly on the half.</w:t>
      </w:r>
    </w:p>
    <w:p w14:paraId="601128F1" w14:textId="77777777" w:rsidR="00304B51" w:rsidRDefault="003000B8">
      <w:r>
        <w:t xml:space="preserve">Analyses were exclusively descriptive. No inferential hypothesis tests were performed and no corrections for multiplicity were applied, in keeping with the exploratory, hypothesis-generating purpose of the study, which was not powered to detect predefined inferential effects and for which </w:t>
      </w:r>
      <w:r>
        <w:lastRenderedPageBreak/>
        <w:t>no a priori effect-size or significance thresholds were specified. All result tables, including those not reproduced in the main text, are provided in Additional file 4 so that the full analysis can be inspected and selective reporting can be checked.</w:t>
      </w:r>
    </w:p>
    <w:p w14:paraId="0D5C80BE" w14:textId="77777777" w:rsidR="00304B51" w:rsidRDefault="003000B8">
      <w:pPr>
        <w:spacing w:before="280" w:after="80"/>
      </w:pPr>
      <w:r>
        <w:rPr>
          <w:b/>
          <w:sz w:val="24"/>
        </w:rPr>
        <w:t>13. Retrospective adaptation of causal pathway diagrams</w:t>
      </w:r>
    </w:p>
    <w:p w14:paraId="30C3AEAC" w14:textId="77777777" w:rsidR="00304B51" w:rsidRDefault="003000B8">
      <w:r>
        <w:t>Causal pathway diagrams were used to visualise the relationships between identified determinants, observed outcomes and recommended implementation strategies. As originally specified, a causal pathway diagram is prospective and strategy-centred: it begins with a defined implementation strategy and traces forward to the determinant the strategy is intended to address and to the outcomes that should follow if it operates as intended.</w:t>
      </w:r>
    </w:p>
    <w:p w14:paraId="5E10D86B" w14:textId="77777777" w:rsidR="00304B51" w:rsidRDefault="003000B8">
      <w:r>
        <w:t>This study describes implementations that had already taken place across Swedish radiology departments, largely without a formal strategy. A prospective, strategy-first diagram could therefore not be constructed from the data. The method was instead applied retrospectively and determinant-centred. Each diagram begins with empirically observed CFIR determinants, traces through hypothesised mechanisms that may be moderated by professional role, reaches documented Proctor outcomes, and terminates in ERIC strategies that are proposed rather than evaluated.</w:t>
      </w:r>
    </w:p>
    <w:p w14:paraId="474B7C34" w14:textId="66FAAB1E" w:rsidR="00304B51" w:rsidRDefault="00B06799">
      <w:r w:rsidRPr="00B06799">
        <w:t>This inversion preserves the core logic of the method, which is to make the underlying assumptions visually explicit, while adapting the direction of inference to a cross-sectional, hypothesis-generating design. Because the application is retrospective and determinant-</w:t>
      </w:r>
      <w:proofErr w:type="spellStart"/>
      <w:r w:rsidRPr="00B06799">
        <w:t>centred</w:t>
      </w:r>
      <w:proofErr w:type="spellEnd"/>
      <w:r w:rsidRPr="00B06799">
        <w:t>, we refer to the resulting figures as determinant-to-strategy pathways rather than causal maps, reserving the word "causal" for the name of the source method and avoiding any implication that the depicted relationships were tested. They are best understood as hypothesis-generating maps for future strategy testing</w:t>
      </w:r>
      <w:r w:rsidR="003000B8">
        <w:t>. The ERIC strategies are actionable outputs of the analysis that a subsequent prospective implementation effort could evaluate; they are not pathway nodes that this study has tested. Where a pathway has no clearly supported moderator or precondition, the corresponding node is omitted rather than assigned.</w:t>
      </w:r>
    </w:p>
    <w:p w14:paraId="35E8AFFB" w14:textId="77777777" w:rsidR="00304B51" w:rsidRDefault="00304B51"/>
    <w:p w14:paraId="3AB408E6" w14:textId="77777777" w:rsidR="00304B51" w:rsidRDefault="003000B8">
      <w:r>
        <w:rPr>
          <w:sz w:val="18"/>
        </w:rPr>
        <w:t>Abbreviations: CFIR, Consolidated Framework for Implementation Research; CPD, causal pathway diagram; ERIC, Expert Recommendations for Implementing Change; IOF, Implementation Outcomes Framework; MDT, multidisciplinary team; SFMR, Swedish Society of Medical Radiology.</w:t>
      </w:r>
    </w:p>
    <w:sectPr w:rsidR="00304B51"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rerad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rerad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rerad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a"/>
      <w:lvlText w:val=""/>
      <w:lvlJc w:val="left"/>
      <w:pPr>
        <w:tabs>
          <w:tab w:val="num" w:pos="360"/>
        </w:tabs>
        <w:ind w:left="360" w:hanging="360"/>
      </w:pPr>
      <w:rPr>
        <w:rFonts w:ascii="Symbol" w:hAnsi="Symbol" w:hint="default"/>
      </w:rPr>
    </w:lvl>
  </w:abstractNum>
  <w:num w:numId="1" w16cid:durableId="405303608">
    <w:abstractNumId w:val="8"/>
  </w:num>
  <w:num w:numId="2" w16cid:durableId="6098523">
    <w:abstractNumId w:val="6"/>
  </w:num>
  <w:num w:numId="3" w16cid:durableId="1733310004">
    <w:abstractNumId w:val="5"/>
  </w:num>
  <w:num w:numId="4" w16cid:durableId="1207253682">
    <w:abstractNumId w:val="4"/>
  </w:num>
  <w:num w:numId="5" w16cid:durableId="1988044048">
    <w:abstractNumId w:val="7"/>
  </w:num>
  <w:num w:numId="6" w16cid:durableId="1466505644">
    <w:abstractNumId w:val="3"/>
  </w:num>
  <w:num w:numId="7" w16cid:durableId="1755856019">
    <w:abstractNumId w:val="2"/>
  </w:num>
  <w:num w:numId="8" w16cid:durableId="1448816422">
    <w:abstractNumId w:val="1"/>
  </w:num>
  <w:num w:numId="9" w16cid:durableId="2067336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42440"/>
    <w:rsid w:val="0029639D"/>
    <w:rsid w:val="003000B8"/>
    <w:rsid w:val="00304B51"/>
    <w:rsid w:val="00326F90"/>
    <w:rsid w:val="004C6022"/>
    <w:rsid w:val="004D5E42"/>
    <w:rsid w:val="00600C0D"/>
    <w:rsid w:val="007A38DD"/>
    <w:rsid w:val="008C655E"/>
    <w:rsid w:val="00AA1D8D"/>
    <w:rsid w:val="00AF2253"/>
    <w:rsid w:val="00B06799"/>
    <w:rsid w:val="00B47730"/>
    <w:rsid w:val="00CB0664"/>
    <w:rsid w:val="00DD71F1"/>
    <w:rsid w:val="00F140A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FF6AAC"/>
  <w14:defaultImageDpi w14:val="300"/>
  <w15:docId w15:val="{4E0FBE2F-47AA-4D02-A5E7-F910BF663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pPr>
    <w:rPr>
      <w:rFonts w:ascii="Calibri" w:hAnsi="Calibri"/>
    </w:rPr>
  </w:style>
  <w:style w:type="paragraph" w:styleId="Rubrik1">
    <w:name w:val="heading 1"/>
    <w:basedOn w:val="Normal"/>
    <w:next w:val="Normal"/>
    <w:link w:val="Rubri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Rubrik2">
    <w:name w:val="heading 2"/>
    <w:basedOn w:val="Normal"/>
    <w:next w:val="Normal"/>
    <w:link w:val="Rubri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Rubrik3">
    <w:name w:val="heading 3"/>
    <w:basedOn w:val="Normal"/>
    <w:next w:val="Normal"/>
    <w:link w:val="Rubri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Rubrik4">
    <w:name w:val="heading 4"/>
    <w:basedOn w:val="Normal"/>
    <w:next w:val="Normal"/>
    <w:link w:val="Rubri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Rubrik5">
    <w:name w:val="heading 5"/>
    <w:basedOn w:val="Normal"/>
    <w:next w:val="Normal"/>
    <w:link w:val="Rubri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Rubrik6">
    <w:name w:val="heading 6"/>
    <w:basedOn w:val="Normal"/>
    <w:next w:val="Normal"/>
    <w:link w:val="Rubri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Rubrik7">
    <w:name w:val="heading 7"/>
    <w:basedOn w:val="Normal"/>
    <w:next w:val="Normal"/>
    <w:link w:val="Rubri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Rubrik9">
    <w:name w:val="heading 9"/>
    <w:basedOn w:val="Normal"/>
    <w:next w:val="Normal"/>
    <w:link w:val="Rubri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E618BF"/>
    <w:pPr>
      <w:tabs>
        <w:tab w:val="center" w:pos="4680"/>
        <w:tab w:val="right" w:pos="9360"/>
      </w:tabs>
      <w:spacing w:after="0" w:line="240" w:lineRule="auto"/>
    </w:pPr>
  </w:style>
  <w:style w:type="character" w:customStyle="1" w:styleId="SidhuvudChar">
    <w:name w:val="Sidhuvud Char"/>
    <w:basedOn w:val="Standardstycketeckensnitt"/>
    <w:link w:val="Sidhuvud"/>
    <w:uiPriority w:val="99"/>
    <w:rsid w:val="00E618BF"/>
  </w:style>
  <w:style w:type="paragraph" w:styleId="Sidfot">
    <w:name w:val="footer"/>
    <w:basedOn w:val="Normal"/>
    <w:link w:val="SidfotChar"/>
    <w:uiPriority w:val="99"/>
    <w:unhideWhenUsed/>
    <w:rsid w:val="00E618BF"/>
    <w:pPr>
      <w:tabs>
        <w:tab w:val="center" w:pos="4680"/>
        <w:tab w:val="right" w:pos="9360"/>
      </w:tabs>
      <w:spacing w:after="0" w:line="240" w:lineRule="auto"/>
    </w:pPr>
  </w:style>
  <w:style w:type="character" w:customStyle="1" w:styleId="SidfotChar">
    <w:name w:val="Sidfot Char"/>
    <w:basedOn w:val="Standardstycketeckensnitt"/>
    <w:link w:val="Sidfot"/>
    <w:uiPriority w:val="99"/>
    <w:rsid w:val="00E618BF"/>
  </w:style>
  <w:style w:type="paragraph" w:styleId="Ingetavstnd">
    <w:name w:val="No Spacing"/>
    <w:uiPriority w:val="1"/>
    <w:qFormat/>
    <w:rsid w:val="00FC693F"/>
    <w:pPr>
      <w:spacing w:after="0" w:line="240" w:lineRule="auto"/>
    </w:pPr>
  </w:style>
  <w:style w:type="character" w:customStyle="1" w:styleId="Rubrik1Char">
    <w:name w:val="Rubrik 1 Char"/>
    <w:basedOn w:val="Standardstycketeckensnitt"/>
    <w:link w:val="Rubri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Rubrik2Char">
    <w:name w:val="Rubrik 2 Char"/>
    <w:basedOn w:val="Standardstycketeckensnitt"/>
    <w:link w:val="Rubrik2"/>
    <w:uiPriority w:val="9"/>
    <w:rsid w:val="00FC693F"/>
    <w:rPr>
      <w:rFonts w:asciiTheme="majorHAnsi" w:eastAsiaTheme="majorEastAsia" w:hAnsiTheme="majorHAnsi" w:cstheme="majorBidi"/>
      <w:b/>
      <w:bCs/>
      <w:color w:val="4F81BD" w:themeColor="accent1"/>
      <w:sz w:val="26"/>
      <w:szCs w:val="26"/>
    </w:rPr>
  </w:style>
  <w:style w:type="character" w:customStyle="1" w:styleId="Rubrik3Char">
    <w:name w:val="Rubrik 3 Char"/>
    <w:basedOn w:val="Standardstycketeckensnitt"/>
    <w:link w:val="Rubrik3"/>
    <w:uiPriority w:val="9"/>
    <w:rsid w:val="00FC693F"/>
    <w:rPr>
      <w:rFonts w:asciiTheme="majorHAnsi" w:eastAsiaTheme="majorEastAsia" w:hAnsiTheme="majorHAnsi" w:cstheme="majorBidi"/>
      <w:b/>
      <w:bCs/>
      <w:color w:val="4F81BD" w:themeColor="accent1"/>
    </w:rPr>
  </w:style>
  <w:style w:type="paragraph" w:styleId="Rubrik">
    <w:name w:val="Title"/>
    <w:basedOn w:val="Normal"/>
    <w:next w:val="Normal"/>
    <w:link w:val="Rubrik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RubrikChar">
    <w:name w:val="Rubrik Char"/>
    <w:basedOn w:val="Standardstycketeckensnitt"/>
    <w:link w:val="Rubrik"/>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rubrik">
    <w:name w:val="Subtitle"/>
    <w:basedOn w:val="Normal"/>
    <w:next w:val="Normal"/>
    <w:link w:val="Underrubrik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rubrikChar">
    <w:name w:val="Underrubrik Char"/>
    <w:basedOn w:val="Standardstycketeckensnitt"/>
    <w:link w:val="Underrubrik"/>
    <w:uiPriority w:val="11"/>
    <w:rsid w:val="00FC693F"/>
    <w:rPr>
      <w:rFonts w:asciiTheme="majorHAnsi" w:eastAsiaTheme="majorEastAsia" w:hAnsiTheme="majorHAnsi" w:cstheme="majorBidi"/>
      <w:i/>
      <w:iCs/>
      <w:color w:val="4F81BD" w:themeColor="accent1"/>
      <w:spacing w:val="15"/>
      <w:sz w:val="24"/>
      <w:szCs w:val="24"/>
    </w:rPr>
  </w:style>
  <w:style w:type="paragraph" w:styleId="Liststycke">
    <w:name w:val="List Paragraph"/>
    <w:basedOn w:val="Normal"/>
    <w:uiPriority w:val="34"/>
    <w:qFormat/>
    <w:rsid w:val="00FC693F"/>
    <w:pPr>
      <w:ind w:left="720"/>
      <w:contextualSpacing/>
    </w:pPr>
  </w:style>
  <w:style w:type="paragraph" w:styleId="Brdtext">
    <w:name w:val="Body Text"/>
    <w:basedOn w:val="Normal"/>
    <w:link w:val="BrdtextChar"/>
    <w:uiPriority w:val="99"/>
    <w:unhideWhenUsed/>
    <w:rsid w:val="00AA1D8D"/>
    <w:pPr>
      <w:spacing w:after="120"/>
    </w:pPr>
  </w:style>
  <w:style w:type="character" w:customStyle="1" w:styleId="BrdtextChar">
    <w:name w:val="Brödtext Char"/>
    <w:basedOn w:val="Standardstycketeckensnitt"/>
    <w:link w:val="Brdtext"/>
    <w:uiPriority w:val="99"/>
    <w:rsid w:val="00AA1D8D"/>
  </w:style>
  <w:style w:type="paragraph" w:styleId="Brdtext2">
    <w:name w:val="Body Text 2"/>
    <w:basedOn w:val="Normal"/>
    <w:link w:val="Brdtext2Char"/>
    <w:uiPriority w:val="99"/>
    <w:unhideWhenUsed/>
    <w:rsid w:val="00AA1D8D"/>
    <w:pPr>
      <w:spacing w:after="120" w:line="480" w:lineRule="auto"/>
    </w:pPr>
  </w:style>
  <w:style w:type="character" w:customStyle="1" w:styleId="Brdtext2Char">
    <w:name w:val="Brödtext 2 Char"/>
    <w:basedOn w:val="Standardstycketeckensnitt"/>
    <w:link w:val="Brdtext2"/>
    <w:uiPriority w:val="99"/>
    <w:rsid w:val="00AA1D8D"/>
  </w:style>
  <w:style w:type="paragraph" w:styleId="Brdtext3">
    <w:name w:val="Body Text 3"/>
    <w:basedOn w:val="Normal"/>
    <w:link w:val="Brdtext3Char"/>
    <w:uiPriority w:val="99"/>
    <w:unhideWhenUsed/>
    <w:rsid w:val="00AA1D8D"/>
    <w:pPr>
      <w:spacing w:after="120"/>
    </w:pPr>
    <w:rPr>
      <w:sz w:val="16"/>
      <w:szCs w:val="16"/>
    </w:rPr>
  </w:style>
  <w:style w:type="character" w:customStyle="1" w:styleId="Brdtext3Char">
    <w:name w:val="Brödtext 3 Char"/>
    <w:basedOn w:val="Standardstycketeckensnitt"/>
    <w:link w:val="Brdtext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Punktlista">
    <w:name w:val="List Bullet"/>
    <w:basedOn w:val="Normal"/>
    <w:uiPriority w:val="99"/>
    <w:unhideWhenUsed/>
    <w:rsid w:val="00326F90"/>
    <w:pPr>
      <w:numPr>
        <w:numId w:val="1"/>
      </w:numPr>
      <w:contextualSpacing/>
    </w:pPr>
  </w:style>
  <w:style w:type="paragraph" w:styleId="Punktlista2">
    <w:name w:val="List Bullet 2"/>
    <w:basedOn w:val="Normal"/>
    <w:uiPriority w:val="99"/>
    <w:unhideWhenUsed/>
    <w:rsid w:val="00326F90"/>
    <w:pPr>
      <w:numPr>
        <w:numId w:val="2"/>
      </w:numPr>
      <w:contextualSpacing/>
    </w:pPr>
  </w:style>
  <w:style w:type="paragraph" w:styleId="Punktlista3">
    <w:name w:val="List Bullet 3"/>
    <w:basedOn w:val="Normal"/>
    <w:uiPriority w:val="99"/>
    <w:unhideWhenUsed/>
    <w:rsid w:val="00326F90"/>
    <w:pPr>
      <w:numPr>
        <w:numId w:val="3"/>
      </w:numPr>
      <w:contextualSpacing/>
    </w:pPr>
  </w:style>
  <w:style w:type="paragraph" w:styleId="Numreradlista">
    <w:name w:val="List Number"/>
    <w:basedOn w:val="Normal"/>
    <w:uiPriority w:val="99"/>
    <w:unhideWhenUsed/>
    <w:rsid w:val="00326F90"/>
    <w:pPr>
      <w:numPr>
        <w:numId w:val="5"/>
      </w:numPr>
      <w:contextualSpacing/>
    </w:pPr>
  </w:style>
  <w:style w:type="paragraph" w:styleId="Numreradlista2">
    <w:name w:val="List Number 2"/>
    <w:basedOn w:val="Normal"/>
    <w:uiPriority w:val="99"/>
    <w:unhideWhenUsed/>
    <w:rsid w:val="0029639D"/>
    <w:pPr>
      <w:numPr>
        <w:numId w:val="6"/>
      </w:numPr>
      <w:contextualSpacing/>
    </w:pPr>
  </w:style>
  <w:style w:type="paragraph" w:styleId="Numreradlista3">
    <w:name w:val="List Number 3"/>
    <w:basedOn w:val="Normal"/>
    <w:uiPriority w:val="99"/>
    <w:unhideWhenUsed/>
    <w:rsid w:val="0029639D"/>
    <w:pPr>
      <w:numPr>
        <w:numId w:val="7"/>
      </w:numPr>
      <w:contextualSpacing/>
    </w:pPr>
  </w:style>
  <w:style w:type="paragraph" w:styleId="Listafortstt">
    <w:name w:val="List Continue"/>
    <w:basedOn w:val="Normal"/>
    <w:uiPriority w:val="99"/>
    <w:unhideWhenUsed/>
    <w:rsid w:val="0029639D"/>
    <w:pPr>
      <w:spacing w:after="120"/>
      <w:ind w:left="360"/>
      <w:contextualSpacing/>
    </w:pPr>
  </w:style>
  <w:style w:type="paragraph" w:styleId="Listafortstt2">
    <w:name w:val="List Continue 2"/>
    <w:basedOn w:val="Normal"/>
    <w:uiPriority w:val="99"/>
    <w:unhideWhenUsed/>
    <w:rsid w:val="0029639D"/>
    <w:pPr>
      <w:spacing w:after="120"/>
      <w:ind w:left="720"/>
      <w:contextualSpacing/>
    </w:pPr>
  </w:style>
  <w:style w:type="paragraph" w:styleId="Listafortstt3">
    <w:name w:val="List Continue 3"/>
    <w:basedOn w:val="Normal"/>
    <w:uiPriority w:val="99"/>
    <w:unhideWhenUsed/>
    <w:rsid w:val="0029639D"/>
    <w:pPr>
      <w:spacing w:after="120"/>
      <w:ind w:left="1080"/>
      <w:contextualSpacing/>
    </w:pPr>
  </w:style>
  <w:style w:type="paragraph" w:styleId="Makrotext">
    <w:name w:val="macro"/>
    <w:link w:val="Mak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Char">
    <w:name w:val="Makrotext Char"/>
    <w:basedOn w:val="Standardstycketeckensnitt"/>
    <w:link w:val="Makrotext"/>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Standardstycketeckensnitt"/>
    <w:link w:val="Citat"/>
    <w:uiPriority w:val="29"/>
    <w:rsid w:val="00FC693F"/>
    <w:rPr>
      <w:i/>
      <w:iCs/>
      <w:color w:val="000000" w:themeColor="text1"/>
    </w:rPr>
  </w:style>
  <w:style w:type="character" w:customStyle="1" w:styleId="Rubrik4Char">
    <w:name w:val="Rubrik 4 Char"/>
    <w:basedOn w:val="Standardstycketeckensnitt"/>
    <w:link w:val="Rubrik4"/>
    <w:uiPriority w:val="9"/>
    <w:semiHidden/>
    <w:rsid w:val="00FC693F"/>
    <w:rPr>
      <w:rFonts w:asciiTheme="majorHAnsi" w:eastAsiaTheme="majorEastAsia" w:hAnsiTheme="majorHAnsi" w:cstheme="majorBidi"/>
      <w:b/>
      <w:bCs/>
      <w:i/>
      <w:iCs/>
      <w:color w:val="4F81BD" w:themeColor="accent1"/>
    </w:rPr>
  </w:style>
  <w:style w:type="character" w:customStyle="1" w:styleId="Rubrik5Char">
    <w:name w:val="Rubrik 5 Char"/>
    <w:basedOn w:val="Standardstycketeckensnitt"/>
    <w:link w:val="Rubrik5"/>
    <w:uiPriority w:val="9"/>
    <w:semiHidden/>
    <w:rsid w:val="00FC693F"/>
    <w:rPr>
      <w:rFonts w:asciiTheme="majorHAnsi" w:eastAsiaTheme="majorEastAsia" w:hAnsiTheme="majorHAnsi" w:cstheme="majorBidi"/>
      <w:color w:val="243F60" w:themeColor="accent1" w:themeShade="7F"/>
    </w:rPr>
  </w:style>
  <w:style w:type="character" w:customStyle="1" w:styleId="Rubrik6Char">
    <w:name w:val="Rubrik 6 Char"/>
    <w:basedOn w:val="Standardstycketeckensnitt"/>
    <w:link w:val="Rubrik6"/>
    <w:uiPriority w:val="9"/>
    <w:semiHidden/>
    <w:rsid w:val="00FC693F"/>
    <w:rPr>
      <w:rFonts w:asciiTheme="majorHAnsi" w:eastAsiaTheme="majorEastAsia" w:hAnsiTheme="majorHAnsi" w:cstheme="majorBidi"/>
      <w:i/>
      <w:iCs/>
      <w:color w:val="243F60" w:themeColor="accent1" w:themeShade="7F"/>
    </w:rPr>
  </w:style>
  <w:style w:type="character" w:customStyle="1" w:styleId="Rubrik7Char">
    <w:name w:val="Rubrik 7 Char"/>
    <w:basedOn w:val="Standardstycketeckensnitt"/>
    <w:link w:val="Rubrik7"/>
    <w:uiPriority w:val="9"/>
    <w:semiHidden/>
    <w:rsid w:val="00FC693F"/>
    <w:rPr>
      <w:rFonts w:asciiTheme="majorHAnsi" w:eastAsiaTheme="majorEastAsia" w:hAnsiTheme="majorHAnsi" w:cstheme="majorBidi"/>
      <w:i/>
      <w:iCs/>
      <w:color w:val="404040" w:themeColor="text1" w:themeTint="BF"/>
    </w:rPr>
  </w:style>
  <w:style w:type="character" w:customStyle="1" w:styleId="Rubrik8Char">
    <w:name w:val="Rubrik 8 Char"/>
    <w:basedOn w:val="Standardstycketeckensnitt"/>
    <w:link w:val="Rubrik8"/>
    <w:uiPriority w:val="9"/>
    <w:semiHidden/>
    <w:rsid w:val="00FC693F"/>
    <w:rPr>
      <w:rFonts w:asciiTheme="majorHAnsi" w:eastAsiaTheme="majorEastAsia" w:hAnsiTheme="majorHAnsi" w:cstheme="majorBidi"/>
      <w:color w:val="4F81BD" w:themeColor="accent1"/>
      <w:sz w:val="20"/>
      <w:szCs w:val="20"/>
    </w:rPr>
  </w:style>
  <w:style w:type="character" w:customStyle="1" w:styleId="Rubrik9Char">
    <w:name w:val="Rubrik 9 Char"/>
    <w:basedOn w:val="Standardstycketeckensnitt"/>
    <w:link w:val="Rubrik9"/>
    <w:uiPriority w:val="9"/>
    <w:semiHidden/>
    <w:rsid w:val="00FC693F"/>
    <w:rPr>
      <w:rFonts w:asciiTheme="majorHAnsi" w:eastAsiaTheme="majorEastAsia" w:hAnsiTheme="majorHAnsi" w:cstheme="majorBidi"/>
      <w:i/>
      <w:iCs/>
      <w:color w:val="404040" w:themeColor="text1" w:themeTint="BF"/>
      <w:sz w:val="20"/>
      <w:szCs w:val="20"/>
    </w:rPr>
  </w:style>
  <w:style w:type="paragraph" w:styleId="Beskrivning">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ark">
    <w:name w:val="Strong"/>
    <w:basedOn w:val="Standardstycketeckensnitt"/>
    <w:uiPriority w:val="22"/>
    <w:qFormat/>
    <w:rsid w:val="00FC693F"/>
    <w:rPr>
      <w:b/>
      <w:bCs/>
    </w:rPr>
  </w:style>
  <w:style w:type="character" w:styleId="Betoning">
    <w:name w:val="Emphasis"/>
    <w:basedOn w:val="Standardstycketeckensnitt"/>
    <w:uiPriority w:val="20"/>
    <w:qFormat/>
    <w:rsid w:val="00FC693F"/>
    <w:rPr>
      <w:i/>
      <w:iCs/>
    </w:rPr>
  </w:style>
  <w:style w:type="paragraph" w:styleId="Starktcitat">
    <w:name w:val="Intense Quote"/>
    <w:basedOn w:val="Normal"/>
    <w:next w:val="Normal"/>
    <w:link w:val="Starkt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arktcitatChar">
    <w:name w:val="Starkt citat Char"/>
    <w:basedOn w:val="Standardstycketeckensnitt"/>
    <w:link w:val="Starktcitat"/>
    <w:uiPriority w:val="30"/>
    <w:rsid w:val="00FC693F"/>
    <w:rPr>
      <w:b/>
      <w:bCs/>
      <w:i/>
      <w:iCs/>
      <w:color w:val="4F81BD" w:themeColor="accent1"/>
    </w:rPr>
  </w:style>
  <w:style w:type="character" w:styleId="Diskretbetoning">
    <w:name w:val="Subtle Emphasis"/>
    <w:basedOn w:val="Standardstycketeckensnitt"/>
    <w:uiPriority w:val="19"/>
    <w:qFormat/>
    <w:rsid w:val="00FC693F"/>
    <w:rPr>
      <w:i/>
      <w:iCs/>
      <w:color w:val="808080" w:themeColor="text1" w:themeTint="7F"/>
    </w:rPr>
  </w:style>
  <w:style w:type="character" w:styleId="Starkbetoning">
    <w:name w:val="Intense Emphasis"/>
    <w:basedOn w:val="Standardstycketeckensnitt"/>
    <w:uiPriority w:val="21"/>
    <w:qFormat/>
    <w:rsid w:val="00FC693F"/>
    <w:rPr>
      <w:b/>
      <w:bCs/>
      <w:i/>
      <w:iCs/>
      <w:color w:val="4F81BD" w:themeColor="accent1"/>
    </w:rPr>
  </w:style>
  <w:style w:type="character" w:styleId="Diskretreferens">
    <w:name w:val="Subtle Reference"/>
    <w:basedOn w:val="Standardstycketeckensnitt"/>
    <w:uiPriority w:val="31"/>
    <w:qFormat/>
    <w:rsid w:val="00FC693F"/>
    <w:rPr>
      <w:smallCaps/>
      <w:color w:val="C0504D" w:themeColor="accent2"/>
      <w:u w:val="single"/>
    </w:rPr>
  </w:style>
  <w:style w:type="character" w:styleId="Starkreferens">
    <w:name w:val="Intense Reference"/>
    <w:basedOn w:val="Standardstycketeckensnitt"/>
    <w:uiPriority w:val="32"/>
    <w:qFormat/>
    <w:rsid w:val="00FC693F"/>
    <w:rPr>
      <w:b/>
      <w:bCs/>
      <w:smallCaps/>
      <w:color w:val="C0504D" w:themeColor="accent2"/>
      <w:spacing w:val="5"/>
      <w:u w:val="single"/>
    </w:rPr>
  </w:style>
  <w:style w:type="character" w:styleId="Bokenstitel">
    <w:name w:val="Book Title"/>
    <w:basedOn w:val="Standardstycketeckensnitt"/>
    <w:uiPriority w:val="33"/>
    <w:qFormat/>
    <w:rsid w:val="00FC693F"/>
    <w:rPr>
      <w:b/>
      <w:bCs/>
      <w:smallCaps/>
      <w:spacing w:val="5"/>
    </w:rPr>
  </w:style>
  <w:style w:type="paragraph" w:styleId="Innehllsfrteckningsrubrik">
    <w:name w:val="TOC Heading"/>
    <w:basedOn w:val="Rubrik1"/>
    <w:next w:val="Normal"/>
    <w:uiPriority w:val="39"/>
    <w:semiHidden/>
    <w:unhideWhenUsed/>
    <w:qFormat/>
    <w:rsid w:val="00FC693F"/>
    <w:pPr>
      <w:outlineLvl w:val="9"/>
    </w:pPr>
  </w:style>
  <w:style w:type="table" w:styleId="Tabellrutnt">
    <w:name w:val="Table Grid"/>
    <w:basedOn w:val="Normal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skuggning">
    <w:name w:val="Light Shading"/>
    <w:basedOn w:val="Normal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jusskuggning-dekorfrg2">
    <w:name w:val="Light Shading Accent 2"/>
    <w:basedOn w:val="Normal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jusskuggning-dekorfrg3">
    <w:name w:val="Light Shading Accent 3"/>
    <w:basedOn w:val="Normal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jusskuggning-dekorfrg4">
    <w:name w:val="Light Shading Accent 4"/>
    <w:basedOn w:val="Normal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jusskuggning-dekorfrg5">
    <w:name w:val="Light Shading Accent 5"/>
    <w:basedOn w:val="Normal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jusskuggning-dekorfrg6">
    <w:name w:val="Light Shading Accent 6"/>
    <w:basedOn w:val="Normal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juslista">
    <w:name w:val="Light List"/>
    <w:basedOn w:val="Normal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juslista-dekorfrg2">
    <w:name w:val="Light List Accent 2"/>
    <w:basedOn w:val="Normal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juslista-dekorfrg3">
    <w:name w:val="Light List Accent 3"/>
    <w:basedOn w:val="Normal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juslista-dekorfrg4">
    <w:name w:val="Light List Accent 4"/>
    <w:basedOn w:val="Normal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juslista-dekorfrg5">
    <w:name w:val="Light List Accent 5"/>
    <w:basedOn w:val="Normal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juslista-dekorfrg6">
    <w:name w:val="Light List Accent 6"/>
    <w:basedOn w:val="Normal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justrutnt">
    <w:name w:val="Light Grid"/>
    <w:basedOn w:val="Normal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justrutnt-dekorfrg2">
    <w:name w:val="Light Grid Accent 2"/>
    <w:basedOn w:val="Normal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justrutnt-dekorfrg3">
    <w:name w:val="Light Grid Accent 3"/>
    <w:basedOn w:val="Normal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justrutnt-dekorfrg4">
    <w:name w:val="Light Grid Accent 4"/>
    <w:basedOn w:val="Normal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justrutnt-dekorfrg5">
    <w:name w:val="Light Grid Accent 5"/>
    <w:basedOn w:val="Normal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justrutnt-dekorfrg6">
    <w:name w:val="Light Grid Accent 6"/>
    <w:basedOn w:val="Normal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llanmrkskuggning1">
    <w:name w:val="Medium Shading 1"/>
    <w:basedOn w:val="Normal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lista1">
    <w:name w:val="Medium List 1"/>
    <w:basedOn w:val="Normal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llanmrklista1-dekorfrg2">
    <w:name w:val="Medium List 1 Accent 2"/>
    <w:basedOn w:val="Normal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llanmrklista1-dekorfrg3">
    <w:name w:val="Medium List 1 Accent 3"/>
    <w:basedOn w:val="Normal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llanmrklista1-dekorfrg4">
    <w:name w:val="Medium List 1 Accent 4"/>
    <w:basedOn w:val="Normal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llanmrklista1-dekorfrg5">
    <w:name w:val="Medium List 1 Accent 5"/>
    <w:basedOn w:val="Normal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llanmrklista1-dekorfrg6">
    <w:name w:val="Medium List 1 Accent 6"/>
    <w:basedOn w:val="Normal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llanmrklista2">
    <w:name w:val="Medium Lis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trutnt1">
    <w:name w:val="Medium Grid 1"/>
    <w:basedOn w:val="Normal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llanmrktrutnt1-dekorfrg2">
    <w:name w:val="Medium Grid 1 Accent 2"/>
    <w:basedOn w:val="Normal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llanmrktrutnt1-dekorfrg3">
    <w:name w:val="Medium Grid 1 Accent 3"/>
    <w:basedOn w:val="Normal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llanmrktrutnt1-dekorfrg4">
    <w:name w:val="Medium Grid 1 Accent 4"/>
    <w:basedOn w:val="Normal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llanmrktrutnt1-dekorfrg5">
    <w:name w:val="Medium Grid 1 Accent 5"/>
    <w:basedOn w:val="Normal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llanmrktrutnt1-dekorfrg6">
    <w:name w:val="Medium Grid 1 Accent 6"/>
    <w:basedOn w:val="Normal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llanmrktrutnt2">
    <w:name w:val="Medium Grid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llanmrktrutnt3-dekorfrg2">
    <w:name w:val="Medium Grid 3 Accent 2"/>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llanmrktrutnt3-dekorfrg3">
    <w:name w:val="Medium Grid 3 Accent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llanmrktrutnt3-dekorfrg4">
    <w:name w:val="Medium Grid 3 Accent 4"/>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llanmrktrutnt3-dekorfrg5">
    <w:name w:val="Medium Grid 3 Accent 5"/>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llanmrktrutnt3-dekorfrg6">
    <w:name w:val="Medium Grid 3 Accent 6"/>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a">
    <w:name w:val="Dark List"/>
    <w:basedOn w:val="Normal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a-dekorfrg2">
    <w:name w:val="Dark List Accent 2"/>
    <w:basedOn w:val="Normal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a-dekorfrg3">
    <w:name w:val="Dark List Accent 3"/>
    <w:basedOn w:val="Normal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a-dekorfrg4">
    <w:name w:val="Dark List Accent 4"/>
    <w:basedOn w:val="Normal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a-dekorfrg5">
    <w:name w:val="Dark List Accent 5"/>
    <w:basedOn w:val="Normal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a-dekorfrg6">
    <w:name w:val="Dark List Accent 6"/>
    <w:basedOn w:val="Normal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rgadskuggning">
    <w:name w:val="Colorful Shading"/>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rgadskuggning-dekorfrg4">
    <w:name w:val="Colorful Shading Accent 4"/>
    <w:basedOn w:val="Normal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rgadlista">
    <w:name w:val="Colorful List"/>
    <w:basedOn w:val="Normal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rgadlista-dekorfrg2">
    <w:name w:val="Colorful List Accent 2"/>
    <w:basedOn w:val="Normal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rgadlista-dekorfrg3">
    <w:name w:val="Colorful List Accent 3"/>
    <w:basedOn w:val="Normal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rgadlista-dekorfrg4">
    <w:name w:val="Colorful List Accent 4"/>
    <w:basedOn w:val="Normal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rgadlista-dekorfrg5">
    <w:name w:val="Colorful List Accent 5"/>
    <w:basedOn w:val="Normal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rgadlista-dekorfrg6">
    <w:name w:val="Colorful List Accent 6"/>
    <w:basedOn w:val="Normal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rgatrutnt">
    <w:name w:val="Colorful Grid"/>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rgatrutnt-dekorfrg2">
    <w:name w:val="Colorful Grid Accent 2"/>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rgatrutnt-dekorfrg3">
    <w:name w:val="Colorful Grid Accent 3"/>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rgatrutnt-dekorfrg4">
    <w:name w:val="Colorful Grid Accent 4"/>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rgatrutnt-dekorfrg5">
    <w:name w:val="Colorful Grid Accent 5"/>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rgatrutnt-dekorfrg6">
    <w:name w:val="Colorful Grid Accent 6"/>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8</Pages>
  <Words>3948</Words>
  <Characters>20930</Characters>
  <Application>Microsoft Office Word</Application>
  <DocSecurity>0</DocSecurity>
  <Lines>174</Lines>
  <Paragraphs>49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24829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 Alvfeldt</dc:creator>
  <cp:keywords/>
  <dc:description>generated by python-docx</dc:description>
  <cp:lastModifiedBy>Gustav Alvfeldt</cp:lastModifiedBy>
  <cp:revision>5</cp:revision>
  <dcterms:created xsi:type="dcterms:W3CDTF">2026-07-23T09:36:00Z</dcterms:created>
  <dcterms:modified xsi:type="dcterms:W3CDTF">2026-08-26T09:58:00Z</dcterms:modified>
  <cp:category/>
</cp:coreProperties>
</file>