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B3B86" w14:textId="77777777" w:rsidR="00D7736E" w:rsidRDefault="000600B1">
      <w:pPr>
        <w:spacing w:after="40"/>
      </w:pPr>
      <w:r>
        <w:rPr>
          <w:b/>
          <w:sz w:val="30"/>
        </w:rPr>
        <w:t>Additional file 3: Analytical audit trail</w:t>
      </w:r>
    </w:p>
    <w:p w14:paraId="60D753A1" w14:textId="77777777" w:rsidR="00D7736E" w:rsidRDefault="000600B1">
      <w:pPr>
        <w:spacing w:after="160"/>
      </w:pPr>
      <w:r>
        <w:rPr>
          <w:i/>
          <w:sz w:val="22"/>
        </w:rPr>
        <w:t>Methodological decisions, rationale, and consequences for the analysis</w:t>
      </w:r>
    </w:p>
    <w:p w14:paraId="3FB02586" w14:textId="6679CEB9" w:rsidR="00D7736E" w:rsidRDefault="000600B1">
      <w:r>
        <w:rPr>
          <w:sz w:val="18"/>
        </w:rPr>
        <w:t xml:space="preserve">This file documents every methodological decision taken during data handling, analysis and interpretation, together with its rationale, its consequence for the reported results (including any trade-off or residual risk introduced), and the source against which it was verified. It is intended to provide an auditable chain of analytical reasoning, to allow each reported figure to be traced back to the raw dataset, and to mitigate the risk of selective reporting or post hoc construct selection. Decisions are numbered by theme; the numbering is stable and entries retained even where a decision was considered and not carried out. Table numbers prefixed S refer to the complete set of tables (Additional file 4); Tables 1 to </w:t>
      </w:r>
      <w:r w:rsidR="00D95E74">
        <w:rPr>
          <w:sz w:val="18"/>
        </w:rPr>
        <w:t>6</w:t>
      </w:r>
      <w:r>
        <w:rPr>
          <w:sz w:val="18"/>
        </w:rPr>
        <w:t xml:space="preserve"> refer to the main text.</w:t>
      </w:r>
    </w:p>
    <w:tbl>
      <w:tblPr>
        <w:tblStyle w:val="Tabellrutnt"/>
        <w:tblW w:w="0" w:type="auto"/>
        <w:jc w:val="center"/>
        <w:tblLayout w:type="fixed"/>
        <w:tblLook w:val="04A0" w:firstRow="1" w:lastRow="0" w:firstColumn="1" w:lastColumn="0" w:noHBand="0" w:noVBand="1"/>
      </w:tblPr>
      <w:tblGrid>
        <w:gridCol w:w="900"/>
        <w:gridCol w:w="2800"/>
        <w:gridCol w:w="3900"/>
        <w:gridCol w:w="4300"/>
        <w:gridCol w:w="2900"/>
      </w:tblGrid>
      <w:tr w:rsidR="00D7736E" w14:paraId="2E005E50" w14:textId="77777777" w:rsidTr="00E73A39">
        <w:trPr>
          <w:tblHeader/>
          <w:jc w:val="center"/>
        </w:trPr>
        <w:tc>
          <w:tcPr>
            <w:tcW w:w="900" w:type="dxa"/>
          </w:tcPr>
          <w:p w14:paraId="639C5DF2" w14:textId="77777777" w:rsidR="00D7736E" w:rsidRDefault="000600B1">
            <w:r>
              <w:rPr>
                <w:b/>
                <w:sz w:val="18"/>
              </w:rPr>
              <w:t>#</w:t>
            </w:r>
          </w:p>
        </w:tc>
        <w:tc>
          <w:tcPr>
            <w:tcW w:w="2800" w:type="dxa"/>
          </w:tcPr>
          <w:p w14:paraId="00CCE5B5" w14:textId="77777777" w:rsidR="00D7736E" w:rsidRDefault="000600B1">
            <w:r>
              <w:rPr>
                <w:b/>
                <w:sz w:val="18"/>
              </w:rPr>
              <w:t>Methodological decision</w:t>
            </w:r>
          </w:p>
        </w:tc>
        <w:tc>
          <w:tcPr>
            <w:tcW w:w="3900" w:type="dxa"/>
          </w:tcPr>
          <w:p w14:paraId="4F950D98" w14:textId="77777777" w:rsidR="00D7736E" w:rsidRDefault="000600B1">
            <w:r>
              <w:rPr>
                <w:b/>
                <w:sz w:val="18"/>
              </w:rPr>
              <w:t>Rationale</w:t>
            </w:r>
          </w:p>
        </w:tc>
        <w:tc>
          <w:tcPr>
            <w:tcW w:w="4300" w:type="dxa"/>
          </w:tcPr>
          <w:p w14:paraId="24376CF1" w14:textId="77777777" w:rsidR="00D7736E" w:rsidRDefault="000600B1">
            <w:r>
              <w:rPr>
                <w:b/>
                <w:sz w:val="18"/>
              </w:rPr>
              <w:t>Consequence for the analysis</w:t>
            </w:r>
          </w:p>
        </w:tc>
        <w:tc>
          <w:tcPr>
            <w:tcW w:w="2000" w:type="dxa"/>
          </w:tcPr>
          <w:p w14:paraId="7D5B2DFE" w14:textId="77777777" w:rsidR="00D7736E" w:rsidRDefault="000600B1">
            <w:r>
              <w:rPr>
                <w:b/>
                <w:sz w:val="18"/>
              </w:rPr>
              <w:t>Verified against / support</w:t>
            </w:r>
          </w:p>
        </w:tc>
      </w:tr>
      <w:tr w:rsidR="00D7736E" w14:paraId="27168DB3" w14:textId="77777777" w:rsidTr="00E73A39">
        <w:trPr>
          <w:jc w:val="center"/>
        </w:trPr>
        <w:tc>
          <w:tcPr>
            <w:tcW w:w="14800" w:type="dxa"/>
            <w:gridSpan w:val="5"/>
          </w:tcPr>
          <w:p w14:paraId="5F2EF269" w14:textId="77777777" w:rsidR="00D7736E" w:rsidRDefault="000600B1">
            <w:r>
              <w:rPr>
                <w:b/>
              </w:rPr>
              <w:t>A. Data handling and population definition</w:t>
            </w:r>
          </w:p>
        </w:tc>
      </w:tr>
      <w:tr w:rsidR="00D7736E" w14:paraId="0EC3A433" w14:textId="77777777">
        <w:trPr>
          <w:jc w:val="center"/>
        </w:trPr>
        <w:tc>
          <w:tcPr>
            <w:tcW w:w="900" w:type="dxa"/>
          </w:tcPr>
          <w:p w14:paraId="2746C08E" w14:textId="77777777" w:rsidR="00D7736E" w:rsidRDefault="000600B1">
            <w:r>
              <w:rPr>
                <w:b/>
                <w:sz w:val="16"/>
              </w:rPr>
              <w:t>A1</w:t>
            </w:r>
          </w:p>
        </w:tc>
        <w:tc>
          <w:tcPr>
            <w:tcW w:w="2800" w:type="dxa"/>
          </w:tcPr>
          <w:p w14:paraId="6055C7B9" w14:textId="77777777" w:rsidR="00D7736E" w:rsidRDefault="000600B1">
            <w:r>
              <w:rPr>
                <w:sz w:val="16"/>
              </w:rPr>
              <w:t>Reclassification of four "Other" professional-role responses into existing categories (two to general radiologist, one to other subspecialty, one to department head).</w:t>
            </w:r>
          </w:p>
        </w:tc>
        <w:tc>
          <w:tcPr>
            <w:tcW w:w="3900" w:type="dxa"/>
          </w:tcPr>
          <w:p w14:paraId="55DBF0A1" w14:textId="77777777" w:rsidR="00D7736E" w:rsidRDefault="000600B1">
            <w:r>
              <w:rPr>
                <w:sz w:val="16"/>
              </w:rPr>
              <w:t>All four respondents selected "Other" but specified in free text a role matching an existing category. Reclassification based on stated professional identity and organisational perspective preserves role-based comparability.</w:t>
            </w:r>
          </w:p>
        </w:tc>
        <w:tc>
          <w:tcPr>
            <w:tcW w:w="4300" w:type="dxa"/>
          </w:tcPr>
          <w:p w14:paraId="71AB23F5" w14:textId="77777777" w:rsidR="00D7736E" w:rsidRDefault="000600B1">
            <w:r>
              <w:rPr>
                <w:sz w:val="16"/>
              </w:rPr>
              <w:t>Enables consistent role-based segmentation of the full sample (general radiologists n=23, abdominal radiologists n=11, other subspecialty n=6, department heads n=10). Residual risk: one case ("medical director" to department head) rests on author judgement.</w:t>
            </w:r>
          </w:p>
        </w:tc>
        <w:tc>
          <w:tcPr>
            <w:tcW w:w="2000" w:type="dxa"/>
          </w:tcPr>
          <w:p w14:paraId="4D8F552E" w14:textId="77777777" w:rsidR="00D7736E" w:rsidRDefault="000600B1">
            <w:r>
              <w:rPr>
                <w:sz w:val="16"/>
              </w:rPr>
              <w:t>Free-text responses in the raw dataset; distribution re-verified cell by cell against Table 1.</w:t>
            </w:r>
          </w:p>
        </w:tc>
      </w:tr>
      <w:tr w:rsidR="00D7736E" w14:paraId="5C48B319" w14:textId="77777777">
        <w:trPr>
          <w:jc w:val="center"/>
        </w:trPr>
        <w:tc>
          <w:tcPr>
            <w:tcW w:w="900" w:type="dxa"/>
          </w:tcPr>
          <w:p w14:paraId="027EEDE1" w14:textId="77777777" w:rsidR="00D7736E" w:rsidRDefault="000600B1">
            <w:r>
              <w:rPr>
                <w:b/>
                <w:sz w:val="16"/>
              </w:rPr>
              <w:t>A2</w:t>
            </w:r>
          </w:p>
        </w:tc>
        <w:tc>
          <w:tcPr>
            <w:tcW w:w="2800" w:type="dxa"/>
          </w:tcPr>
          <w:p w14:paraId="5A7890CD" w14:textId="77777777" w:rsidR="00D7736E" w:rsidRDefault="000600B1">
            <w:r>
              <w:rPr>
                <w:sz w:val="16"/>
              </w:rPr>
              <w:t>Exclusion of respondent ID 14 from all determinant and outcome analyses; retained in the descriptive sample tables.</w:t>
            </w:r>
          </w:p>
        </w:tc>
        <w:tc>
          <w:tcPr>
            <w:tcW w:w="3900" w:type="dxa"/>
          </w:tcPr>
          <w:p w14:paraId="5E57EDED" w14:textId="77777777" w:rsidR="00D7736E" w:rsidRDefault="000600B1">
            <w:r>
              <w:rPr>
                <w:sz w:val="16"/>
              </w:rPr>
              <w:t>The respondent stated in free text that they do not personally use the templates and had entered fictitious answers to mandatory items. Retaining forced responses would introduce systematic measurement error in every determinant and outcome estimate.</w:t>
            </w:r>
          </w:p>
        </w:tc>
        <w:tc>
          <w:tcPr>
            <w:tcW w:w="4300" w:type="dxa"/>
          </w:tcPr>
          <w:p w14:paraId="6E4F8BB0" w14:textId="77777777" w:rsidR="00D7736E" w:rsidRDefault="000600B1">
            <w:r>
              <w:rPr>
                <w:sz w:val="16"/>
              </w:rPr>
              <w:t>Reduces the active-user analysis population from n=34 to n=33. Sample composition data (role, hospital type) remain valid and are retained for n=50. Trade-off: reduces the abdominal radiologist subgroup from n=9 to n=8.</w:t>
            </w:r>
          </w:p>
        </w:tc>
        <w:tc>
          <w:tcPr>
            <w:tcW w:w="2000" w:type="dxa"/>
          </w:tcPr>
          <w:p w14:paraId="7CAEE308" w14:textId="77777777" w:rsidR="00D7736E" w:rsidRDefault="000600B1">
            <w:r>
              <w:rPr>
                <w:sz w:val="16"/>
              </w:rPr>
              <w:t>Free-text response in the raw dataset; participant flow shown in Fig. 2.</w:t>
            </w:r>
          </w:p>
        </w:tc>
      </w:tr>
      <w:tr w:rsidR="00D7736E" w14:paraId="6A675AD3" w14:textId="77777777">
        <w:trPr>
          <w:jc w:val="center"/>
        </w:trPr>
        <w:tc>
          <w:tcPr>
            <w:tcW w:w="900" w:type="dxa"/>
          </w:tcPr>
          <w:p w14:paraId="6C0BB666" w14:textId="77777777" w:rsidR="00D7736E" w:rsidRDefault="000600B1">
            <w:r>
              <w:rPr>
                <w:b/>
                <w:sz w:val="16"/>
              </w:rPr>
              <w:t>A3</w:t>
            </w:r>
          </w:p>
        </w:tc>
        <w:tc>
          <w:tcPr>
            <w:tcW w:w="2800" w:type="dxa"/>
          </w:tcPr>
          <w:p w14:paraId="18614B9C" w14:textId="77777777" w:rsidR="00D7736E" w:rsidRDefault="000600B1">
            <w:r>
              <w:rPr>
                <w:sz w:val="16"/>
              </w:rPr>
              <w:t>Exclusion of one general radiologist from the process-satisfaction item, who supplied free text instead of a rating.</w:t>
            </w:r>
          </w:p>
        </w:tc>
        <w:tc>
          <w:tcPr>
            <w:tcW w:w="3900" w:type="dxa"/>
          </w:tcPr>
          <w:p w14:paraId="679E7084" w14:textId="77777777" w:rsidR="00D7736E" w:rsidRDefault="000600B1">
            <w:r>
              <w:rPr>
                <w:sz w:val="16"/>
              </w:rPr>
              <w:t>The response could not be converted to a numeric value without subjective interpretation; excluding it preserves measurement validity for that item only.</w:t>
            </w:r>
          </w:p>
        </w:tc>
        <w:tc>
          <w:tcPr>
            <w:tcW w:w="4300" w:type="dxa"/>
          </w:tcPr>
          <w:p w14:paraId="444F77C8" w14:textId="77777777" w:rsidR="00D7736E" w:rsidRDefault="000600B1">
            <w:r>
              <w:rPr>
                <w:sz w:val="16"/>
              </w:rPr>
              <w:t>The denominator for process satisfaction is n=32 overall and n=17 for general radiologists, in contrast to n=33 and n=18 elsewhere. Reported explicitly in the table footnote.</w:t>
            </w:r>
          </w:p>
        </w:tc>
        <w:tc>
          <w:tcPr>
            <w:tcW w:w="2000" w:type="dxa"/>
          </w:tcPr>
          <w:p w14:paraId="37B308DA" w14:textId="77777777" w:rsidR="00D7736E" w:rsidRDefault="000600B1">
            <w:r>
              <w:rPr>
                <w:sz w:val="16"/>
              </w:rPr>
              <w:t>Raw dataset; Table S17 and its footnote.</w:t>
            </w:r>
          </w:p>
        </w:tc>
      </w:tr>
      <w:tr w:rsidR="00D7736E" w14:paraId="157E9898" w14:textId="77777777">
        <w:trPr>
          <w:jc w:val="center"/>
        </w:trPr>
        <w:tc>
          <w:tcPr>
            <w:tcW w:w="900" w:type="dxa"/>
          </w:tcPr>
          <w:p w14:paraId="1A14435F" w14:textId="77777777" w:rsidR="00D7736E" w:rsidRDefault="000600B1">
            <w:r>
              <w:rPr>
                <w:b/>
                <w:sz w:val="16"/>
              </w:rPr>
              <w:t>A4</w:t>
            </w:r>
          </w:p>
        </w:tc>
        <w:tc>
          <w:tcPr>
            <w:tcW w:w="2800" w:type="dxa"/>
          </w:tcPr>
          <w:p w14:paraId="16694A83" w14:textId="77777777" w:rsidR="00D7736E" w:rsidRDefault="000600B1">
            <w:r>
              <w:rPr>
                <w:sz w:val="16"/>
              </w:rPr>
              <w:t>Unit of analysis defined as the radiology department, with respondents reporting on behalf of their department.</w:t>
            </w:r>
          </w:p>
        </w:tc>
        <w:tc>
          <w:tcPr>
            <w:tcW w:w="3900" w:type="dxa"/>
          </w:tcPr>
          <w:p w14:paraId="605C4381" w14:textId="77777777" w:rsidR="00D7736E" w:rsidRDefault="000600B1">
            <w:r>
              <w:rPr>
                <w:sz w:val="16"/>
              </w:rPr>
              <w:t>The innovation is implemented at department level, not at individual level. Anonymity precluded identification of departments, so no clustering adjustment was possible.</w:t>
            </w:r>
          </w:p>
        </w:tc>
        <w:tc>
          <w:tcPr>
            <w:tcW w:w="4300" w:type="dxa"/>
          </w:tcPr>
          <w:p w14:paraId="4E968361" w14:textId="5635EB0F" w:rsidR="00D7736E" w:rsidRDefault="000600B1">
            <w:r>
              <w:rPr>
                <w:sz w:val="16"/>
              </w:rPr>
              <w:t>Proportions describe departments as perceived by their respondents. Residual risk: two respondents from the same department would be counted twice; t</w:t>
            </w:r>
            <w:r w:rsidR="00CF5BFB" w:rsidRPr="00CF5BFB">
              <w:rPr>
                <w:sz w:val="16"/>
              </w:rPr>
              <w:t>his cannot be excluded and is declared in the limitations.</w:t>
            </w:r>
          </w:p>
        </w:tc>
        <w:tc>
          <w:tcPr>
            <w:tcW w:w="2000" w:type="dxa"/>
          </w:tcPr>
          <w:p w14:paraId="7F3B0011" w14:textId="193EFB7C" w:rsidR="00D7736E" w:rsidRDefault="00CA551F">
            <w:r w:rsidRPr="00CA551F">
              <w:rPr>
                <w:sz w:val="16"/>
              </w:rPr>
              <w:t>Survey design; stated in Methods (Study design and setting) and in the limitations.</w:t>
            </w:r>
          </w:p>
        </w:tc>
      </w:tr>
      <w:tr w:rsidR="00D7736E" w14:paraId="2EEBD69A" w14:textId="77777777">
        <w:trPr>
          <w:jc w:val="center"/>
        </w:trPr>
        <w:tc>
          <w:tcPr>
            <w:tcW w:w="900" w:type="dxa"/>
          </w:tcPr>
          <w:p w14:paraId="34B0C1FB" w14:textId="77777777" w:rsidR="00D7736E" w:rsidRDefault="000600B1">
            <w:r>
              <w:rPr>
                <w:b/>
                <w:sz w:val="16"/>
              </w:rPr>
              <w:t>A5</w:t>
            </w:r>
          </w:p>
        </w:tc>
        <w:tc>
          <w:tcPr>
            <w:tcW w:w="2800" w:type="dxa"/>
          </w:tcPr>
          <w:p w14:paraId="7C0E8DF3" w14:textId="77777777" w:rsidR="00D7736E" w:rsidRDefault="000600B1">
            <w:r>
              <w:rPr>
                <w:sz w:val="16"/>
              </w:rPr>
              <w:t>No imputation or missing-data handling procedure applied.</w:t>
            </w:r>
          </w:p>
        </w:tc>
        <w:tc>
          <w:tcPr>
            <w:tcW w:w="3900" w:type="dxa"/>
          </w:tcPr>
          <w:p w14:paraId="5568A653" w14:textId="77777777" w:rsidR="00D7736E" w:rsidRDefault="000600B1">
            <w:r>
              <w:rPr>
                <w:sz w:val="16"/>
              </w:rPr>
              <w:t>All Likert matrix items were mandatory in the survey tool, so no item-level missing data arose in any analysed variable.</w:t>
            </w:r>
          </w:p>
        </w:tc>
        <w:tc>
          <w:tcPr>
            <w:tcW w:w="4300" w:type="dxa"/>
          </w:tcPr>
          <w:p w14:paraId="2AC1B285" w14:textId="77777777" w:rsidR="00D7736E" w:rsidRDefault="000600B1">
            <w:r>
              <w:rPr>
                <w:sz w:val="16"/>
              </w:rPr>
              <w:t>Every denominator equals the full branch or subgroup population. No imputation was required and none was performed. Satisfies STROBE item 12c.</w:t>
            </w:r>
          </w:p>
        </w:tc>
        <w:tc>
          <w:tcPr>
            <w:tcW w:w="2000" w:type="dxa"/>
          </w:tcPr>
          <w:p w14:paraId="63EA4F29" w14:textId="77777777" w:rsidR="00D7736E" w:rsidRDefault="000600B1">
            <w:r>
              <w:rPr>
                <w:sz w:val="16"/>
              </w:rPr>
              <w:t>Raw dataset, checked cell by cell across all analysed columns for all active users; no empty cells found.</w:t>
            </w:r>
          </w:p>
        </w:tc>
      </w:tr>
      <w:tr w:rsidR="00D7736E" w14:paraId="1790C6E1" w14:textId="77777777">
        <w:trPr>
          <w:jc w:val="center"/>
        </w:trPr>
        <w:tc>
          <w:tcPr>
            <w:tcW w:w="900" w:type="dxa"/>
          </w:tcPr>
          <w:p w14:paraId="5380767D" w14:textId="77777777" w:rsidR="00D7736E" w:rsidRDefault="000600B1">
            <w:r>
              <w:rPr>
                <w:b/>
                <w:sz w:val="16"/>
              </w:rPr>
              <w:t>A6</w:t>
            </w:r>
          </w:p>
        </w:tc>
        <w:tc>
          <w:tcPr>
            <w:tcW w:w="2800" w:type="dxa"/>
          </w:tcPr>
          <w:p w14:paraId="024E732E" w14:textId="77777777" w:rsidR="00D7736E" w:rsidRDefault="000600B1">
            <w:r>
              <w:rPr>
                <w:sz w:val="16"/>
              </w:rPr>
              <w:t>Conditional barrier battery (n=12) reported in Additional file 4 only, and not in the main text.</w:t>
            </w:r>
          </w:p>
        </w:tc>
        <w:tc>
          <w:tcPr>
            <w:tcW w:w="3900" w:type="dxa"/>
          </w:tcPr>
          <w:p w14:paraId="16A5500E" w14:textId="77777777" w:rsidR="00D7736E" w:rsidRDefault="000600B1">
            <w:r>
              <w:rPr>
                <w:sz w:val="16"/>
              </w:rPr>
              <w:t>A filter item asked all active users whether barriers or resistance to the use of the templates had been experienced at their department (yes / no / do not know). The twelve who answered yes received a follow-up battery on the nature of those barriers. The resulting group is small, and role-stratified cells fall to between two and seven respondents, below the level at which this study reports comparative figures. Reporting it in the main text would also mix estimates conditioned on a prior answer with estimates covering the whole branch.</w:t>
            </w:r>
          </w:p>
        </w:tc>
        <w:tc>
          <w:tcPr>
            <w:tcW w:w="4300" w:type="dxa"/>
          </w:tcPr>
          <w:p w14:paraId="5EFCE03C" w14:textId="77777777" w:rsidR="00D7736E" w:rsidRDefault="000600B1">
            <w:r>
              <w:rPr>
                <w:sz w:val="16"/>
              </w:rPr>
              <w:t>The main text reports determinants only from items answered by the full active-user population (n=33), so every determinant proportion rests on a single denominator. The battery is published in full as Tables S4 and S5, so that its omission from the main text can be verified rather than assumed, consistent with E7. Trade-off: the perspective of the subgroup that reported experiencing barriers is absent from the main analysis, and two constructs measured only in this battery (Culture: Recipient-Centeredness; Characteristics: Opportunity) therefore appear nowhere in the main text. Both are listed in Additional file 1, section 5.1.</w:t>
            </w:r>
          </w:p>
        </w:tc>
        <w:tc>
          <w:tcPr>
            <w:tcW w:w="2000" w:type="dxa"/>
          </w:tcPr>
          <w:p w14:paraId="263342A7" w14:textId="77777777" w:rsidR="00D7736E" w:rsidRDefault="000600B1">
            <w:r>
              <w:rPr>
                <w:sz w:val="16"/>
              </w:rPr>
              <w:t>Raw dataset; Tables S4 and S5; Additional file 1, sections 2 and 5.1.</w:t>
            </w:r>
          </w:p>
        </w:tc>
      </w:tr>
      <w:tr w:rsidR="00D7736E" w14:paraId="65B267B0" w14:textId="77777777" w:rsidTr="00E73A39">
        <w:trPr>
          <w:jc w:val="center"/>
        </w:trPr>
        <w:tc>
          <w:tcPr>
            <w:tcW w:w="14800" w:type="dxa"/>
            <w:gridSpan w:val="5"/>
          </w:tcPr>
          <w:p w14:paraId="28948B58" w14:textId="77777777" w:rsidR="00D7736E" w:rsidRDefault="000600B1">
            <w:r>
              <w:rPr>
                <w:b/>
              </w:rPr>
              <w:t>B. Scale transformation and scoring</w:t>
            </w:r>
          </w:p>
        </w:tc>
      </w:tr>
      <w:tr w:rsidR="00D7736E" w14:paraId="2F21D031" w14:textId="77777777">
        <w:trPr>
          <w:jc w:val="center"/>
        </w:trPr>
        <w:tc>
          <w:tcPr>
            <w:tcW w:w="900" w:type="dxa"/>
          </w:tcPr>
          <w:p w14:paraId="0840B809" w14:textId="77777777" w:rsidR="00D7736E" w:rsidRDefault="000600B1">
            <w:r>
              <w:rPr>
                <w:b/>
                <w:sz w:val="16"/>
              </w:rPr>
              <w:t>B1</w:t>
            </w:r>
          </w:p>
        </w:tc>
        <w:tc>
          <w:tcPr>
            <w:tcW w:w="2800" w:type="dxa"/>
          </w:tcPr>
          <w:p w14:paraId="35E0F6BB" w14:textId="77777777" w:rsidR="00D7736E" w:rsidRDefault="000600B1">
            <w:r>
              <w:rPr>
                <w:sz w:val="16"/>
              </w:rPr>
              <w:t>Collapse of all five-point Likert scales to three ordinal categories.</w:t>
            </w:r>
          </w:p>
        </w:tc>
        <w:tc>
          <w:tcPr>
            <w:tcW w:w="3900" w:type="dxa"/>
          </w:tcPr>
          <w:p w14:paraId="12662606" w14:textId="77777777" w:rsidR="00D7736E" w:rsidRDefault="000600B1">
            <w:r>
              <w:rPr>
                <w:sz w:val="16"/>
              </w:rPr>
              <w:t xml:space="preserve">With n=50 overall and subgroups as small as n=4, five-level distributions produce sparse cells in which a single respondent can move a category by 25 percentage </w:t>
            </w:r>
            <w:r>
              <w:rPr>
                <w:sz w:val="16"/>
              </w:rPr>
              <w:lastRenderedPageBreak/>
              <w:t>points, making the distribution unstable and the percentages misleading.</w:t>
            </w:r>
          </w:p>
        </w:tc>
        <w:tc>
          <w:tcPr>
            <w:tcW w:w="4300" w:type="dxa"/>
          </w:tcPr>
          <w:p w14:paraId="73CD6F98" w14:textId="77777777" w:rsidR="00D7736E" w:rsidRDefault="000600B1">
            <w:r>
              <w:rPr>
                <w:sz w:val="16"/>
              </w:rPr>
              <w:lastRenderedPageBreak/>
              <w:t>Increases cell frequencies and stabilises estimates; enables valence determination per CFIR construct. Trade-off: loss of granularity between moderate and extreme positions.</w:t>
            </w:r>
          </w:p>
        </w:tc>
        <w:tc>
          <w:tcPr>
            <w:tcW w:w="2000" w:type="dxa"/>
          </w:tcPr>
          <w:p w14:paraId="2B3F1BFF" w14:textId="32D8EAC3" w:rsidR="00D7736E" w:rsidRDefault="000600B1">
            <w:r>
              <w:rPr>
                <w:sz w:val="16"/>
              </w:rPr>
              <w:t>Liu et al. on collapsing sparse Likert responses [</w:t>
            </w:r>
            <w:r w:rsidR="005426CC">
              <w:rPr>
                <w:sz w:val="16"/>
              </w:rPr>
              <w:t>19</w:t>
            </w:r>
            <w:r>
              <w:rPr>
                <w:sz w:val="16"/>
              </w:rPr>
              <w:t>]; CFIR user guide [</w:t>
            </w:r>
            <w:r w:rsidR="005426CC">
              <w:rPr>
                <w:sz w:val="16"/>
              </w:rPr>
              <w:t>25</w:t>
            </w:r>
            <w:r>
              <w:rPr>
                <w:sz w:val="16"/>
              </w:rPr>
              <w:t>].</w:t>
            </w:r>
          </w:p>
        </w:tc>
      </w:tr>
      <w:tr w:rsidR="00D7736E" w14:paraId="098DE728" w14:textId="77777777">
        <w:trPr>
          <w:jc w:val="center"/>
        </w:trPr>
        <w:tc>
          <w:tcPr>
            <w:tcW w:w="900" w:type="dxa"/>
          </w:tcPr>
          <w:p w14:paraId="3F3CB760" w14:textId="77777777" w:rsidR="00D7736E" w:rsidRDefault="000600B1">
            <w:r>
              <w:rPr>
                <w:b/>
                <w:sz w:val="16"/>
              </w:rPr>
              <w:t>B2</w:t>
            </w:r>
          </w:p>
        </w:tc>
        <w:tc>
          <w:tcPr>
            <w:tcW w:w="2800" w:type="dxa"/>
          </w:tcPr>
          <w:p w14:paraId="1753B3F8" w14:textId="77777777" w:rsidR="00D7736E" w:rsidRDefault="000600B1">
            <w:r>
              <w:rPr>
                <w:sz w:val="16"/>
              </w:rPr>
              <w:t>Top-box scoring for CFIR determinants: the proportion endorsing the strongest valence category ("Strong / Very strong" for facilitators, "Large / Very large challenge" for barriers).</w:t>
            </w:r>
          </w:p>
        </w:tc>
        <w:tc>
          <w:tcPr>
            <w:tcW w:w="3900" w:type="dxa"/>
          </w:tcPr>
          <w:p w14:paraId="012BFF9F" w14:textId="77777777" w:rsidR="00D7736E" w:rsidRDefault="000600B1">
            <w:r>
              <w:rPr>
                <w:sz w:val="16"/>
              </w:rPr>
              <w:t>Top-box scoring answers the question the determinant analysis asks, namely whether a construct acts as a clear barrier or facilitator, rather than how positively it is regarded on average.</w:t>
            </w:r>
          </w:p>
        </w:tc>
        <w:tc>
          <w:tcPr>
            <w:tcW w:w="4300" w:type="dxa"/>
          </w:tcPr>
          <w:p w14:paraId="0FFA3807" w14:textId="77777777" w:rsidR="00D7736E" w:rsidRDefault="000600B1">
            <w:r>
              <w:rPr>
                <w:sz w:val="16"/>
              </w:rPr>
              <w:t>Provides a single comparable valence figure per construct and per domain. Trade-off: moderate responses fall outside the top box, so cumulative support or resistance may be understated.</w:t>
            </w:r>
          </w:p>
        </w:tc>
        <w:tc>
          <w:tcPr>
            <w:tcW w:w="2000" w:type="dxa"/>
          </w:tcPr>
          <w:p w14:paraId="0D44200A" w14:textId="3CC8997D" w:rsidR="00D7736E" w:rsidRDefault="000600B1">
            <w:r>
              <w:rPr>
                <w:sz w:val="16"/>
              </w:rPr>
              <w:t>Top-box literature [2</w:t>
            </w:r>
            <w:r w:rsidR="005426CC">
              <w:rPr>
                <w:sz w:val="16"/>
              </w:rPr>
              <w:t>0</w:t>
            </w:r>
            <w:r>
              <w:rPr>
                <w:sz w:val="16"/>
              </w:rPr>
              <w:t>, 2</w:t>
            </w:r>
            <w:r w:rsidR="005426CC">
              <w:rPr>
                <w:sz w:val="16"/>
              </w:rPr>
              <w:t>1</w:t>
            </w:r>
            <w:r>
              <w:rPr>
                <w:sz w:val="16"/>
              </w:rPr>
              <w:t>]; applied consistently across Tables 2 and 4.</w:t>
            </w:r>
          </w:p>
        </w:tc>
      </w:tr>
      <w:tr w:rsidR="00D7736E" w14:paraId="38CAFA6D" w14:textId="77777777">
        <w:trPr>
          <w:jc w:val="center"/>
        </w:trPr>
        <w:tc>
          <w:tcPr>
            <w:tcW w:w="900" w:type="dxa"/>
          </w:tcPr>
          <w:p w14:paraId="23E99840" w14:textId="77777777" w:rsidR="00D7736E" w:rsidRDefault="000600B1">
            <w:r>
              <w:rPr>
                <w:b/>
                <w:sz w:val="16"/>
              </w:rPr>
              <w:t>B3</w:t>
            </w:r>
          </w:p>
        </w:tc>
        <w:tc>
          <w:tcPr>
            <w:tcW w:w="2800" w:type="dxa"/>
          </w:tcPr>
          <w:p w14:paraId="53829F9C" w14:textId="77777777" w:rsidR="00D7736E" w:rsidRDefault="000600B1">
            <w:r>
              <w:rPr>
                <w:sz w:val="16"/>
              </w:rPr>
              <w:t>Bipolar scale retained, and top-box deliberately not applied, for Service Outcomes (Improved / Unchanged / Worsened).</w:t>
            </w:r>
          </w:p>
        </w:tc>
        <w:tc>
          <w:tcPr>
            <w:tcW w:w="3900" w:type="dxa"/>
          </w:tcPr>
          <w:p w14:paraId="55320963" w14:textId="2CFF4EF0" w:rsidR="00D7736E" w:rsidRDefault="000600B1">
            <w:r>
              <w:rPr>
                <w:sz w:val="16"/>
              </w:rPr>
              <w:t>Service Outcomes measure the direction of perceived change. The Standardisation</w:t>
            </w:r>
            <w:r w:rsidR="00F55196">
              <w:rPr>
                <w:sz w:val="16"/>
              </w:rPr>
              <w:t>–</w:t>
            </w:r>
            <w:r>
              <w:rPr>
                <w:sz w:val="16"/>
              </w:rPr>
              <w:t>Complexity Mismatch requires the positive and negative tails to be visible simultaneously; a top-box figure would conceal the deterioration.</w:t>
            </w:r>
          </w:p>
        </w:tc>
        <w:tc>
          <w:tcPr>
            <w:tcW w:w="4300" w:type="dxa"/>
          </w:tcPr>
          <w:p w14:paraId="7B9EF7B9" w14:textId="77777777" w:rsidR="00D7736E" w:rsidRDefault="000600B1">
            <w:r>
              <w:rPr>
                <w:sz w:val="16"/>
              </w:rPr>
              <w:t>Enables the central observation that the same innovation is perceived to improve clinical benefit (Service Effectiveness 91%) while degrading workflow for a substantial minority (Service Efficiency 19% worsened). The departure from B2 is stated explicitly in the Methods.</w:t>
            </w:r>
          </w:p>
        </w:tc>
        <w:tc>
          <w:tcPr>
            <w:tcW w:w="2000" w:type="dxa"/>
          </w:tcPr>
          <w:p w14:paraId="1C926F77" w14:textId="7B34F992" w:rsidR="00D7736E" w:rsidRDefault="000600B1">
            <w:r>
              <w:rPr>
                <w:sz w:val="16"/>
              </w:rPr>
              <w:t>Proctor et al. [</w:t>
            </w:r>
            <w:r w:rsidR="00F55196">
              <w:rPr>
                <w:sz w:val="16"/>
              </w:rPr>
              <w:t>27</w:t>
            </w:r>
            <w:r>
              <w:rPr>
                <w:sz w:val="16"/>
              </w:rPr>
              <w:t>]; Table 5.</w:t>
            </w:r>
          </w:p>
        </w:tc>
      </w:tr>
      <w:tr w:rsidR="00D7736E" w14:paraId="0A6A4C41" w14:textId="77777777">
        <w:trPr>
          <w:jc w:val="center"/>
        </w:trPr>
        <w:tc>
          <w:tcPr>
            <w:tcW w:w="900" w:type="dxa"/>
          </w:tcPr>
          <w:p w14:paraId="5DF60B67" w14:textId="77777777" w:rsidR="00D7736E" w:rsidRDefault="000600B1">
            <w:r>
              <w:rPr>
                <w:b/>
                <w:sz w:val="16"/>
              </w:rPr>
              <w:t>B4</w:t>
            </w:r>
          </w:p>
        </w:tc>
        <w:tc>
          <w:tcPr>
            <w:tcW w:w="2800" w:type="dxa"/>
          </w:tcPr>
          <w:p w14:paraId="43204629" w14:textId="77777777" w:rsidR="00D7736E" w:rsidRDefault="000600B1">
            <w:r>
              <w:rPr>
                <w:sz w:val="16"/>
              </w:rPr>
              <w:t>Implementation Outcomes rated on a five-point Very low to Very high scale, collapsed to three categories, with "High / Very high" as the top box.</w:t>
            </w:r>
          </w:p>
        </w:tc>
        <w:tc>
          <w:tcPr>
            <w:tcW w:w="3900" w:type="dxa"/>
          </w:tcPr>
          <w:p w14:paraId="48306145" w14:textId="77777777" w:rsidR="00D7736E" w:rsidRDefault="000600B1">
            <w:r>
              <w:rPr>
                <w:sz w:val="16"/>
              </w:rPr>
              <w:t>Consistency with B1 and B2 for the outcome block, while retaining the neutral category, which carries interpretive weight for Sustainability.</w:t>
            </w:r>
          </w:p>
        </w:tc>
        <w:tc>
          <w:tcPr>
            <w:tcW w:w="4300" w:type="dxa"/>
          </w:tcPr>
          <w:p w14:paraId="03106DC2" w14:textId="44E6DA92" w:rsidR="00D7736E" w:rsidRDefault="000600B1">
            <w:r>
              <w:rPr>
                <w:sz w:val="16"/>
              </w:rPr>
              <w:t xml:space="preserve">Permits the observation that Sustainability is low not because respondents rate it negatively (12%) but because 48% are neutral. </w:t>
            </w:r>
            <w:r w:rsidR="006C77F1" w:rsidRPr="006C77F1">
              <w:rPr>
                <w:sz w:val="16"/>
              </w:rPr>
              <w:t>Reported in Table 6 and Additional file 4, Table S16</w:t>
            </w:r>
            <w:r>
              <w:rPr>
                <w:sz w:val="16"/>
              </w:rPr>
              <w:t>.</w:t>
            </w:r>
          </w:p>
        </w:tc>
        <w:tc>
          <w:tcPr>
            <w:tcW w:w="2000" w:type="dxa"/>
          </w:tcPr>
          <w:p w14:paraId="284F6F37" w14:textId="77777777" w:rsidR="00D7736E" w:rsidRDefault="000600B1">
            <w:r>
              <w:rPr>
                <w:sz w:val="16"/>
              </w:rPr>
              <w:t>Raw dataset; Tables S15 and S16.</w:t>
            </w:r>
          </w:p>
        </w:tc>
      </w:tr>
      <w:tr w:rsidR="00D7736E" w14:paraId="24272AAA" w14:textId="77777777" w:rsidTr="00E73A39">
        <w:trPr>
          <w:jc w:val="center"/>
        </w:trPr>
        <w:tc>
          <w:tcPr>
            <w:tcW w:w="14800" w:type="dxa"/>
            <w:gridSpan w:val="5"/>
          </w:tcPr>
          <w:p w14:paraId="2AFC17BB" w14:textId="77777777" w:rsidR="00D7736E" w:rsidRDefault="000600B1">
            <w:r>
              <w:rPr>
                <w:b/>
              </w:rPr>
              <w:t>C. Subgroup construction and selection of the independent variable</w:t>
            </w:r>
          </w:p>
        </w:tc>
      </w:tr>
      <w:tr w:rsidR="00D7736E" w14:paraId="05D94461" w14:textId="77777777">
        <w:trPr>
          <w:jc w:val="center"/>
        </w:trPr>
        <w:tc>
          <w:tcPr>
            <w:tcW w:w="900" w:type="dxa"/>
          </w:tcPr>
          <w:p w14:paraId="0D9C8B69" w14:textId="77777777" w:rsidR="00D7736E" w:rsidRDefault="000600B1">
            <w:r>
              <w:rPr>
                <w:b/>
                <w:sz w:val="16"/>
              </w:rPr>
              <w:t>C1</w:t>
            </w:r>
          </w:p>
        </w:tc>
        <w:tc>
          <w:tcPr>
            <w:tcW w:w="2800" w:type="dxa"/>
          </w:tcPr>
          <w:p w14:paraId="499CF1D8" w14:textId="77777777" w:rsidR="00D7736E" w:rsidRDefault="000600B1">
            <w:r>
              <w:rPr>
                <w:sz w:val="16"/>
              </w:rPr>
              <w:t>Exclusion of "Other subspecialty" (n=3) as a separate comparison column; responses retained in the total column.</w:t>
            </w:r>
          </w:p>
        </w:tc>
        <w:tc>
          <w:tcPr>
            <w:tcW w:w="3900" w:type="dxa"/>
          </w:tcPr>
          <w:p w14:paraId="24F6B5E0" w14:textId="77777777" w:rsidR="00D7736E" w:rsidRDefault="000600B1">
            <w:r>
              <w:rPr>
                <w:sz w:val="16"/>
              </w:rPr>
              <w:t>Statistical: at n=3 each respondent represents 33 percentage points. Clinical: the group is heterogeneous (for example neuroradiology, nuclear medicine), so an aggregate has no interpretable referent.</w:t>
            </w:r>
          </w:p>
        </w:tc>
        <w:tc>
          <w:tcPr>
            <w:tcW w:w="4300" w:type="dxa"/>
          </w:tcPr>
          <w:p w14:paraId="27AC1404" w14:textId="5B7C8C7E" w:rsidR="00D7736E" w:rsidRDefault="00012F48">
            <w:r>
              <w:rPr>
                <w:sz w:val="16"/>
              </w:rPr>
              <w:t>R</w:t>
            </w:r>
            <w:r w:rsidRPr="00012F48">
              <w:rPr>
                <w:sz w:val="16"/>
              </w:rPr>
              <w:t>emoves an uninterpretable, heterogeneous aggregate from the role comparisons</w:t>
            </w:r>
            <w:r w:rsidR="000600B1">
              <w:rPr>
                <w:sz w:val="16"/>
              </w:rPr>
              <w:t xml:space="preserve"> while retaining the data in all totals (n=33). Trade-off: possible loss of signal from subspecialists who may share the friction pattern seen in abdominal radiologists. Stated in every affected table footnote.</w:t>
            </w:r>
          </w:p>
        </w:tc>
        <w:tc>
          <w:tcPr>
            <w:tcW w:w="2000" w:type="dxa"/>
          </w:tcPr>
          <w:p w14:paraId="0F88956E" w14:textId="77777777" w:rsidR="00D7736E" w:rsidRDefault="000600B1">
            <w:r>
              <w:rPr>
                <w:sz w:val="16"/>
              </w:rPr>
              <w:t>Raw dataset; footnotes to Tables 2, 4, 6 and 8.</w:t>
            </w:r>
          </w:p>
        </w:tc>
      </w:tr>
      <w:tr w:rsidR="00D7736E" w14:paraId="718A0A63" w14:textId="77777777">
        <w:trPr>
          <w:jc w:val="center"/>
        </w:trPr>
        <w:tc>
          <w:tcPr>
            <w:tcW w:w="900" w:type="dxa"/>
          </w:tcPr>
          <w:p w14:paraId="7B20DF2D" w14:textId="77777777" w:rsidR="00D7736E" w:rsidRDefault="000600B1">
            <w:r>
              <w:rPr>
                <w:b/>
                <w:sz w:val="16"/>
              </w:rPr>
              <w:t>C2</w:t>
            </w:r>
          </w:p>
        </w:tc>
        <w:tc>
          <w:tcPr>
            <w:tcW w:w="2800" w:type="dxa"/>
          </w:tcPr>
          <w:p w14:paraId="371ECC6A" w14:textId="77777777" w:rsidR="00D7736E" w:rsidRDefault="000600B1">
            <w:r>
              <w:rPr>
                <w:sz w:val="16"/>
              </w:rPr>
              <w:t>Retention of department heads (n=4) as a separate comparison group despite the small subgroup.</w:t>
            </w:r>
          </w:p>
        </w:tc>
        <w:tc>
          <w:tcPr>
            <w:tcW w:w="3900" w:type="dxa"/>
          </w:tcPr>
          <w:p w14:paraId="3394DD25" w14:textId="77777777" w:rsidR="00D7736E" w:rsidRDefault="000600B1">
            <w:r>
              <w:rPr>
                <w:sz w:val="16"/>
              </w:rPr>
              <w:t>Theoretical: CFIR 2022 defines High/Mid-level Leaders as a distinct construct. Homogeneity: unlike "Other subspecialty" all four share one organisational vantage point. Representativeness: department heads are a small national population, so n=4 covers proportionally more of its target population.</w:t>
            </w:r>
          </w:p>
        </w:tc>
        <w:tc>
          <w:tcPr>
            <w:tcW w:w="4300" w:type="dxa"/>
          </w:tcPr>
          <w:p w14:paraId="70F497B9" w14:textId="77777777" w:rsidR="00D7736E" w:rsidRDefault="000600B1">
            <w:r>
              <w:rPr>
                <w:sz w:val="16"/>
              </w:rPr>
              <w:t>Preserves the leadership perspective and allows professional role to function as a moderator, for example Fidelity and Penetration rated 100% by department heads against 62% and 50% among abdominal radiologists and 72% for both among general radiologists. Trade-off: each respondent represents 25 percentage points, so all department-head figures are reported as directional patterns, never as differences.</w:t>
            </w:r>
          </w:p>
        </w:tc>
        <w:tc>
          <w:tcPr>
            <w:tcW w:w="2000" w:type="dxa"/>
          </w:tcPr>
          <w:p w14:paraId="726D98C1" w14:textId="73969EA3" w:rsidR="00D7736E" w:rsidRDefault="000600B1">
            <w:r>
              <w:rPr>
                <w:sz w:val="16"/>
              </w:rPr>
              <w:t>CFIR 2022 [</w:t>
            </w:r>
            <w:r w:rsidR="00F55196">
              <w:rPr>
                <w:sz w:val="16"/>
              </w:rPr>
              <w:t>23</w:t>
            </w:r>
            <w:r>
              <w:rPr>
                <w:sz w:val="16"/>
              </w:rPr>
              <w:t xml:space="preserve">]; </w:t>
            </w:r>
            <w:r w:rsidR="00D95E74" w:rsidRPr="00D95E74">
              <w:rPr>
                <w:sz w:val="16"/>
              </w:rPr>
              <w:t>Additional file 4, Tables S14 and S16</w:t>
            </w:r>
            <w:r>
              <w:rPr>
                <w:sz w:val="16"/>
              </w:rPr>
              <w:t>.</w:t>
            </w:r>
          </w:p>
        </w:tc>
      </w:tr>
      <w:tr w:rsidR="00D7736E" w14:paraId="5EE2C8FD" w14:textId="77777777">
        <w:trPr>
          <w:jc w:val="center"/>
        </w:trPr>
        <w:tc>
          <w:tcPr>
            <w:tcW w:w="900" w:type="dxa"/>
          </w:tcPr>
          <w:p w14:paraId="57BD75EB" w14:textId="77777777" w:rsidR="00D7736E" w:rsidRDefault="000600B1">
            <w:r>
              <w:rPr>
                <w:b/>
                <w:sz w:val="16"/>
              </w:rPr>
              <w:t>C3</w:t>
            </w:r>
          </w:p>
        </w:tc>
        <w:tc>
          <w:tcPr>
            <w:tcW w:w="2800" w:type="dxa"/>
          </w:tcPr>
          <w:p w14:paraId="1A619F40" w14:textId="77777777" w:rsidR="00D7736E" w:rsidRDefault="000600B1">
            <w:r>
              <w:rPr>
                <w:sz w:val="16"/>
              </w:rPr>
              <w:t>Professional role, not hospital type, selected as the primary independent variable and moderator.</w:t>
            </w:r>
          </w:p>
        </w:tc>
        <w:tc>
          <w:tcPr>
            <w:tcW w:w="3900" w:type="dxa"/>
          </w:tcPr>
          <w:p w14:paraId="2E271CCA" w14:textId="77777777" w:rsidR="00D7736E" w:rsidRDefault="000600B1">
            <w:r>
              <w:rPr>
                <w:sz w:val="16"/>
              </w:rPr>
              <w:t>Cross-tabulation showed strong collinearity: all 23 general radiologists worked at county or district hospitals and none at university hospitals, while all active users at university hospitals were subspecialists. Presenting both variables would yield near-identical distributions under different headings. The mechanism of interest is the cognitive demand of the task, not the hospital classification.</w:t>
            </w:r>
          </w:p>
        </w:tc>
        <w:tc>
          <w:tcPr>
            <w:tcW w:w="4300" w:type="dxa"/>
          </w:tcPr>
          <w:p w14:paraId="2D883040" w14:textId="77777777" w:rsidR="00D7736E" w:rsidRDefault="000600B1">
            <w:r>
              <w:rPr>
                <w:sz w:val="16"/>
              </w:rPr>
              <w:t>Avoids redundant tabulation and keeps the analytical narrative on the proposed mechanism. Trade-off: organisational effects such as differences in IT infrastructure cannot be separated from role effects. Declared in the limitations.</w:t>
            </w:r>
          </w:p>
        </w:tc>
        <w:tc>
          <w:tcPr>
            <w:tcW w:w="2000" w:type="dxa"/>
          </w:tcPr>
          <w:p w14:paraId="5CAFC9EF" w14:textId="77777777" w:rsidR="00D7736E" w:rsidRDefault="000600B1">
            <w:r>
              <w:rPr>
                <w:sz w:val="16"/>
              </w:rPr>
              <w:t>Cross-tabulation verified against the raw dataset; Tables S1 and S2.</w:t>
            </w:r>
          </w:p>
        </w:tc>
      </w:tr>
      <w:tr w:rsidR="00D7736E" w14:paraId="5B68040D" w14:textId="77777777">
        <w:trPr>
          <w:jc w:val="center"/>
        </w:trPr>
        <w:tc>
          <w:tcPr>
            <w:tcW w:w="900" w:type="dxa"/>
          </w:tcPr>
          <w:p w14:paraId="3D4572B8" w14:textId="77777777" w:rsidR="00D7736E" w:rsidRDefault="000600B1">
            <w:r>
              <w:rPr>
                <w:b/>
                <w:sz w:val="16"/>
              </w:rPr>
              <w:t>C4</w:t>
            </w:r>
          </w:p>
        </w:tc>
        <w:tc>
          <w:tcPr>
            <w:tcW w:w="2800" w:type="dxa"/>
          </w:tcPr>
          <w:p w14:paraId="2C4ECA65" w14:textId="77777777" w:rsidR="00D7736E" w:rsidRDefault="000600B1">
            <w:r>
              <w:rPr>
                <w:sz w:val="16"/>
              </w:rPr>
              <w:t>Sensitivity analysis merging "Other subspecialty" (n=3) with abdominal radiologists (n=8) into a combined subspecialist group (n=11): considered and not performed.</w:t>
            </w:r>
          </w:p>
        </w:tc>
        <w:tc>
          <w:tcPr>
            <w:tcW w:w="3900" w:type="dxa"/>
          </w:tcPr>
          <w:p w14:paraId="65B75E74" w14:textId="77777777" w:rsidR="00D7736E" w:rsidRDefault="000600B1">
            <w:r>
              <w:rPr>
                <w:sz w:val="16"/>
              </w:rPr>
              <w:t>The merge would have tested whether the friction pattern observed among abdominal radiologists persists at n=11. It was not carried out because the merged group would reintroduce precisely the clinical heterogeneity that motivated exclusion C1, so a divergent result would not be interpretable.</w:t>
            </w:r>
          </w:p>
        </w:tc>
        <w:tc>
          <w:tcPr>
            <w:tcW w:w="4300" w:type="dxa"/>
          </w:tcPr>
          <w:p w14:paraId="46AF7935" w14:textId="77777777" w:rsidR="00D7736E" w:rsidRDefault="000600B1">
            <w:r>
              <w:rPr>
                <w:sz w:val="16"/>
              </w:rPr>
              <w:t>The robustness of the role-related observations therefore rests on n=8 and is declared as such. Retained in this audit trail as a considered and rejected option rather than removed, so that the decision remains traceable.</w:t>
            </w:r>
          </w:p>
        </w:tc>
        <w:tc>
          <w:tcPr>
            <w:tcW w:w="2000" w:type="dxa"/>
          </w:tcPr>
          <w:p w14:paraId="54C9C3C3" w14:textId="77777777" w:rsidR="00D7736E" w:rsidRDefault="000600B1">
            <w:r>
              <w:rPr>
                <w:sz w:val="16"/>
              </w:rPr>
              <w:t>Author decision; no corresponding analysis exists in the workbook.</w:t>
            </w:r>
          </w:p>
        </w:tc>
      </w:tr>
      <w:tr w:rsidR="00D7736E" w14:paraId="31941601" w14:textId="77777777" w:rsidTr="00012F48">
        <w:trPr>
          <w:jc w:val="center"/>
        </w:trPr>
        <w:tc>
          <w:tcPr>
            <w:tcW w:w="14800" w:type="dxa"/>
            <w:gridSpan w:val="5"/>
          </w:tcPr>
          <w:p w14:paraId="40705C5C" w14:textId="77777777" w:rsidR="00D7736E" w:rsidRDefault="000600B1">
            <w:r>
              <w:rPr>
                <w:b/>
              </w:rPr>
              <w:t>D. Theoretical framework mapping</w:t>
            </w:r>
          </w:p>
        </w:tc>
      </w:tr>
      <w:tr w:rsidR="00D7736E" w14:paraId="66C983B0" w14:textId="77777777">
        <w:trPr>
          <w:jc w:val="center"/>
        </w:trPr>
        <w:tc>
          <w:tcPr>
            <w:tcW w:w="900" w:type="dxa"/>
          </w:tcPr>
          <w:p w14:paraId="191D0360" w14:textId="77777777" w:rsidR="00D7736E" w:rsidRDefault="000600B1">
            <w:r>
              <w:rPr>
                <w:b/>
                <w:sz w:val="16"/>
              </w:rPr>
              <w:t>D1</w:t>
            </w:r>
          </w:p>
        </w:tc>
        <w:tc>
          <w:tcPr>
            <w:tcW w:w="2800" w:type="dxa"/>
          </w:tcPr>
          <w:p w14:paraId="091739A5" w14:textId="77777777" w:rsidR="00D7736E" w:rsidRDefault="000600B1">
            <w:r>
              <w:rPr>
                <w:sz w:val="16"/>
              </w:rPr>
              <w:t xml:space="preserve">Strict separation of the innovation from the way it was implemented, maintained as an analytical boundary throughout, although the </w:t>
            </w:r>
            <w:r>
              <w:rPr>
                <w:sz w:val="16"/>
              </w:rPr>
              <w:lastRenderedPageBreak/>
              <w:t>Implementation Process domain was not operationalised as CFIR constructs.</w:t>
            </w:r>
          </w:p>
        </w:tc>
        <w:tc>
          <w:tcPr>
            <w:tcW w:w="3900" w:type="dxa"/>
          </w:tcPr>
          <w:p w14:paraId="5B0B1228" w14:textId="77777777" w:rsidR="00D7736E" w:rsidRDefault="000600B1">
            <w:r>
              <w:rPr>
                <w:sz w:val="16"/>
              </w:rPr>
              <w:lastRenderedPageBreak/>
              <w:t xml:space="preserve">CFIR 2022 requires the boundary between the innovation and its implementation to be defined; without it, a shortcoming cannot be attributed to the correct cause. The process constructs themselves could </w:t>
            </w:r>
            <w:r>
              <w:rPr>
                <w:sz w:val="16"/>
              </w:rPr>
              <w:lastRenderedPageBreak/>
              <w:t>not be assessed meaningfully across departments in which different templates were introduced at different times by different stakeholders.</w:t>
            </w:r>
          </w:p>
        </w:tc>
        <w:tc>
          <w:tcPr>
            <w:tcW w:w="4300" w:type="dxa"/>
          </w:tcPr>
          <w:p w14:paraId="52C4709B" w14:textId="77777777" w:rsidR="00D7736E" w:rsidRDefault="000600B1">
            <w:r>
              <w:rPr>
                <w:sz w:val="16"/>
              </w:rPr>
              <w:lastRenderedPageBreak/>
              <w:t xml:space="preserve">How each rollout was carried out is captured by one categorical item (Table 3), and the two satisfaction items keep the objects apart: dissatisfaction with the implementation as carried out (25% among abdominal radiologists, Table S17) is </w:t>
            </w:r>
            <w:r>
              <w:rPr>
                <w:sz w:val="16"/>
              </w:rPr>
              <w:lastRenderedPageBreak/>
              <w:t>separable from dissatisfaction with daily use of the templates (12%, Table S18). Trade-off: the boundary rests on respondent interpretation of two separate items, not on an objective process evaluation, and no process-construct data exist.</w:t>
            </w:r>
          </w:p>
        </w:tc>
        <w:tc>
          <w:tcPr>
            <w:tcW w:w="2000" w:type="dxa"/>
          </w:tcPr>
          <w:p w14:paraId="5520CF9C" w14:textId="7F4FA30E" w:rsidR="00D7736E" w:rsidRDefault="000600B1">
            <w:r>
              <w:rPr>
                <w:sz w:val="16"/>
              </w:rPr>
              <w:lastRenderedPageBreak/>
              <w:t>CFIR 2022 [</w:t>
            </w:r>
            <w:r w:rsidR="00F55196">
              <w:rPr>
                <w:sz w:val="16"/>
              </w:rPr>
              <w:t>23</w:t>
            </w:r>
            <w:r>
              <w:rPr>
                <w:sz w:val="16"/>
              </w:rPr>
              <w:t>]; CFIR user guide [2</w:t>
            </w:r>
            <w:r w:rsidR="00F55196">
              <w:rPr>
                <w:sz w:val="16"/>
              </w:rPr>
              <w:t>5</w:t>
            </w:r>
            <w:r>
              <w:rPr>
                <w:sz w:val="16"/>
              </w:rPr>
              <w:t>]; Tables S17 and S18.</w:t>
            </w:r>
          </w:p>
        </w:tc>
      </w:tr>
      <w:tr w:rsidR="00D7736E" w14:paraId="778937B3" w14:textId="77777777">
        <w:trPr>
          <w:jc w:val="center"/>
        </w:trPr>
        <w:tc>
          <w:tcPr>
            <w:tcW w:w="900" w:type="dxa"/>
          </w:tcPr>
          <w:p w14:paraId="5BCDE5FB" w14:textId="77777777" w:rsidR="00D7736E" w:rsidRDefault="000600B1">
            <w:r>
              <w:rPr>
                <w:b/>
                <w:sz w:val="16"/>
              </w:rPr>
              <w:t>D2</w:t>
            </w:r>
          </w:p>
        </w:tc>
        <w:tc>
          <w:tcPr>
            <w:tcW w:w="2800" w:type="dxa"/>
          </w:tcPr>
          <w:p w14:paraId="04FCAF5F" w14:textId="77777777" w:rsidR="00D7736E" w:rsidRDefault="000600B1">
            <w:r>
              <w:rPr>
                <w:sz w:val="16"/>
              </w:rPr>
              <w:t>Mapping of eleven Service Outcome items to four categories: Service Effectiveness, Service Efficiency, Service Safety and Organisational Effectiveness.</w:t>
            </w:r>
          </w:p>
        </w:tc>
        <w:tc>
          <w:tcPr>
            <w:tcW w:w="3900" w:type="dxa"/>
          </w:tcPr>
          <w:p w14:paraId="6CE0732D" w14:textId="77777777" w:rsidR="00D7736E" w:rsidRDefault="000600B1">
            <w:r>
              <w:rPr>
                <w:sz w:val="16"/>
              </w:rPr>
              <w:t>The first three follow Proctor and the Institute of Medicine quality aims. A fourth category was added for two items (educational use, follow-up and research) that have no place in the original three and correspond to the Learning Healthcare System concept.</w:t>
            </w:r>
          </w:p>
        </w:tc>
        <w:tc>
          <w:tcPr>
            <w:tcW w:w="4300" w:type="dxa"/>
          </w:tcPr>
          <w:p w14:paraId="79AF70DE" w14:textId="77777777" w:rsidR="00D7736E" w:rsidRDefault="000600B1">
            <w:r>
              <w:rPr>
                <w:sz w:val="16"/>
              </w:rPr>
              <w:t>Gives a structured service-level presentation aligned with the established taxonomy. Trade-off: the fourth category is a study-specific extension, is labelled as such wherever it appears, and is presented last. The placement of "communication with referrers" under Efficiency rather than Effectiveness is a defensible but contestable judgement.</w:t>
            </w:r>
          </w:p>
        </w:tc>
        <w:tc>
          <w:tcPr>
            <w:tcW w:w="2000" w:type="dxa"/>
          </w:tcPr>
          <w:p w14:paraId="5A89E7A9" w14:textId="7C23C799" w:rsidR="00D7736E" w:rsidRDefault="000600B1">
            <w:r>
              <w:rPr>
                <w:sz w:val="16"/>
              </w:rPr>
              <w:t>Proctor et al. [</w:t>
            </w:r>
            <w:r w:rsidR="00F55196">
              <w:rPr>
                <w:sz w:val="16"/>
              </w:rPr>
              <w:t>27</w:t>
            </w:r>
            <w:r>
              <w:rPr>
                <w:sz w:val="16"/>
              </w:rPr>
              <w:t>]; Institute of Medicine [</w:t>
            </w:r>
            <w:r w:rsidR="00F55196">
              <w:rPr>
                <w:sz w:val="16"/>
              </w:rPr>
              <w:t>29</w:t>
            </w:r>
            <w:r>
              <w:rPr>
                <w:sz w:val="16"/>
              </w:rPr>
              <w:t>]; Table 5.</w:t>
            </w:r>
          </w:p>
        </w:tc>
      </w:tr>
      <w:tr w:rsidR="00D7736E" w14:paraId="1E62F597" w14:textId="77777777">
        <w:trPr>
          <w:jc w:val="center"/>
        </w:trPr>
        <w:tc>
          <w:tcPr>
            <w:tcW w:w="900" w:type="dxa"/>
          </w:tcPr>
          <w:p w14:paraId="662AD126" w14:textId="77777777" w:rsidR="00D7736E" w:rsidRDefault="000600B1">
            <w:r>
              <w:rPr>
                <w:b/>
                <w:sz w:val="16"/>
              </w:rPr>
              <w:t>D3</w:t>
            </w:r>
          </w:p>
        </w:tc>
        <w:tc>
          <w:tcPr>
            <w:tcW w:w="2800" w:type="dxa"/>
          </w:tcPr>
          <w:p w14:paraId="13A69A37" w14:textId="5A2AB472" w:rsidR="00D7736E" w:rsidRDefault="000600B1">
            <w:r>
              <w:rPr>
                <w:sz w:val="16"/>
              </w:rPr>
              <w:t xml:space="preserve">Threefold operationalisation of Acceptability: perceived satisfaction among radiologists as a group (Table </w:t>
            </w:r>
            <w:r w:rsidR="00D95E74">
              <w:rPr>
                <w:sz w:val="16"/>
              </w:rPr>
              <w:t>6</w:t>
            </w:r>
            <w:r>
              <w:rPr>
                <w:sz w:val="16"/>
              </w:rPr>
              <w:t>), satisfaction with the implementation process (Table S17), and satisfaction with using the templates (Table S18).</w:t>
            </w:r>
          </w:p>
        </w:tc>
        <w:tc>
          <w:tcPr>
            <w:tcW w:w="3900" w:type="dxa"/>
          </w:tcPr>
          <w:p w14:paraId="7976E9AC" w14:textId="77777777" w:rsidR="00D7736E" w:rsidRDefault="000600B1">
            <w:r>
              <w:rPr>
                <w:sz w:val="16"/>
              </w:rPr>
              <w:t>Proctor defines Acceptability at individual level, while CFIR 2022 requires the innovation to be separated from the process. The survey therefore contains three items that all touch on satisfaction but measure different objects.</w:t>
            </w:r>
          </w:p>
        </w:tc>
        <w:tc>
          <w:tcPr>
            <w:tcW w:w="4300" w:type="dxa"/>
          </w:tcPr>
          <w:p w14:paraId="61EF6671" w14:textId="77777777" w:rsidR="00D7736E" w:rsidRDefault="000600B1">
            <w:r>
              <w:rPr>
                <w:sz w:val="16"/>
              </w:rPr>
              <w:t>Satisfaction with use is positioned as the primary Acceptability measure; process satisfaction serves as a retrospective process evaluation bridging outcomes and determinants; the group-level item captures perceived climate. The three yield 64%, 72% and 79% respectively. Only the primary measure is reported in the main text; the other two are reported in Additional file 4, so the divergence cannot be read as an inconsistency within one measure.</w:t>
            </w:r>
          </w:p>
        </w:tc>
        <w:tc>
          <w:tcPr>
            <w:tcW w:w="2000" w:type="dxa"/>
          </w:tcPr>
          <w:p w14:paraId="3839D9BD" w14:textId="7FC8ACA6" w:rsidR="00D7736E" w:rsidRDefault="000600B1">
            <w:r>
              <w:rPr>
                <w:sz w:val="16"/>
              </w:rPr>
              <w:t>Proctor et al. [</w:t>
            </w:r>
            <w:r w:rsidR="00F55196">
              <w:rPr>
                <w:sz w:val="16"/>
              </w:rPr>
              <w:t>27</w:t>
            </w:r>
            <w:r>
              <w:rPr>
                <w:sz w:val="16"/>
              </w:rPr>
              <w:t>]; CFIR Outcomes Addendum [</w:t>
            </w:r>
            <w:r w:rsidR="00F55196">
              <w:rPr>
                <w:sz w:val="16"/>
              </w:rPr>
              <w:t>30</w:t>
            </w:r>
            <w:r>
              <w:rPr>
                <w:sz w:val="16"/>
              </w:rPr>
              <w:t>]; Tables S15, S17 and S18.</w:t>
            </w:r>
          </w:p>
        </w:tc>
      </w:tr>
      <w:tr w:rsidR="00D7736E" w14:paraId="6A52D52F" w14:textId="77777777">
        <w:trPr>
          <w:jc w:val="center"/>
        </w:trPr>
        <w:tc>
          <w:tcPr>
            <w:tcW w:w="900" w:type="dxa"/>
          </w:tcPr>
          <w:p w14:paraId="557451BC" w14:textId="77777777" w:rsidR="00D7736E" w:rsidRDefault="000600B1">
            <w:r>
              <w:rPr>
                <w:b/>
                <w:sz w:val="16"/>
              </w:rPr>
              <w:t>D4</w:t>
            </w:r>
          </w:p>
        </w:tc>
        <w:tc>
          <w:tcPr>
            <w:tcW w:w="2800" w:type="dxa"/>
          </w:tcPr>
          <w:p w14:paraId="6A7075C2" w14:textId="77777777" w:rsidR="00D7736E" w:rsidRDefault="000600B1">
            <w:r>
              <w:rPr>
                <w:sz w:val="16"/>
              </w:rPr>
              <w:t>Seven implementation outcomes selected: Acceptability, Adoption, Appropriateness, Feasibility, Fidelity, Penetration and Sustainability.</w:t>
            </w:r>
          </w:p>
        </w:tc>
        <w:tc>
          <w:tcPr>
            <w:tcW w:w="3900" w:type="dxa"/>
          </w:tcPr>
          <w:p w14:paraId="776272DB" w14:textId="77777777" w:rsidR="00D7736E" w:rsidRDefault="000600B1">
            <w:r>
              <w:rPr>
                <w:sz w:val="16"/>
              </w:rPr>
              <w:t>These are the components common to Proctor’s taxonomy and the CFIR Outcomes Addendum, which keeps the outcome block compatible with both frameworks. Cost was not measured.</w:t>
            </w:r>
          </w:p>
        </w:tc>
        <w:tc>
          <w:tcPr>
            <w:tcW w:w="4300" w:type="dxa"/>
          </w:tcPr>
          <w:p w14:paraId="16DD4488" w14:textId="77777777" w:rsidR="00D7736E" w:rsidRDefault="000600B1">
            <w:r>
              <w:rPr>
                <w:sz w:val="16"/>
              </w:rPr>
              <w:t>Gives a complete outcome profile for the adoption-to-sustainment pathway. Trade-off: implementation cost is absent from the outcome side, although Innovation Cost is covered on the determinant side.</w:t>
            </w:r>
          </w:p>
        </w:tc>
        <w:tc>
          <w:tcPr>
            <w:tcW w:w="2000" w:type="dxa"/>
          </w:tcPr>
          <w:p w14:paraId="419ACA61" w14:textId="66FAD22C" w:rsidR="00D7736E" w:rsidRDefault="000600B1">
            <w:r>
              <w:rPr>
                <w:sz w:val="16"/>
              </w:rPr>
              <w:t>Proctor et al. [</w:t>
            </w:r>
            <w:r w:rsidR="00F55196">
              <w:rPr>
                <w:sz w:val="16"/>
              </w:rPr>
              <w:t>27</w:t>
            </w:r>
            <w:r>
              <w:rPr>
                <w:sz w:val="16"/>
              </w:rPr>
              <w:t>]; CFIR Outcomes Addendum [3</w:t>
            </w:r>
            <w:r w:rsidR="00F55196">
              <w:rPr>
                <w:sz w:val="16"/>
              </w:rPr>
              <w:t>0</w:t>
            </w:r>
            <w:r>
              <w:rPr>
                <w:sz w:val="16"/>
              </w:rPr>
              <w:t>].</w:t>
            </w:r>
          </w:p>
        </w:tc>
      </w:tr>
      <w:tr w:rsidR="00D7736E" w14:paraId="6E20524C" w14:textId="77777777">
        <w:trPr>
          <w:jc w:val="center"/>
        </w:trPr>
        <w:tc>
          <w:tcPr>
            <w:tcW w:w="900" w:type="dxa"/>
          </w:tcPr>
          <w:p w14:paraId="06C96623" w14:textId="77777777" w:rsidR="00D7736E" w:rsidRDefault="000600B1">
            <w:r>
              <w:rPr>
                <w:b/>
                <w:sz w:val="16"/>
              </w:rPr>
              <w:t>D5</w:t>
            </w:r>
          </w:p>
        </w:tc>
        <w:tc>
          <w:tcPr>
            <w:tcW w:w="2800" w:type="dxa"/>
          </w:tcPr>
          <w:p w14:paraId="775FFC11" w14:textId="77777777" w:rsidR="00D7736E" w:rsidRDefault="000600B1">
            <w:r>
              <w:rPr>
                <w:sz w:val="16"/>
              </w:rPr>
              <w:t>Client Outcomes, the third Proctor layer, not applied.</w:t>
            </w:r>
          </w:p>
        </w:tc>
        <w:tc>
          <w:tcPr>
            <w:tcW w:w="3900" w:type="dxa"/>
          </w:tcPr>
          <w:p w14:paraId="38561096" w14:textId="77777777" w:rsidR="00D7736E" w:rsidRDefault="000600B1">
            <w:r>
              <w:rPr>
                <w:sz w:val="16"/>
              </w:rPr>
              <w:t>The survey addressed the radiology domain only and contains no item on outcomes as perceived by patients, referring physicians or multidisciplinary tumour boards.</w:t>
            </w:r>
          </w:p>
        </w:tc>
        <w:tc>
          <w:tcPr>
            <w:tcW w:w="4300" w:type="dxa"/>
          </w:tcPr>
          <w:p w14:paraId="58C7206F" w14:textId="77777777" w:rsidR="00D7736E" w:rsidRDefault="000600B1">
            <w:r>
              <w:rPr>
                <w:sz w:val="16"/>
              </w:rPr>
              <w:t>The study reports two of the three Proctor layers. The omission is stated in the Methods so that the framework is not presented as applied in full.</w:t>
            </w:r>
          </w:p>
        </w:tc>
        <w:tc>
          <w:tcPr>
            <w:tcW w:w="2000" w:type="dxa"/>
          </w:tcPr>
          <w:p w14:paraId="6A342946" w14:textId="725128D7" w:rsidR="00D7736E" w:rsidRDefault="000600B1">
            <w:r>
              <w:rPr>
                <w:sz w:val="16"/>
              </w:rPr>
              <w:t>Proctor et al. [</w:t>
            </w:r>
            <w:r w:rsidR="00F55196">
              <w:rPr>
                <w:sz w:val="16"/>
              </w:rPr>
              <w:t>27</w:t>
            </w:r>
            <w:r>
              <w:rPr>
                <w:sz w:val="16"/>
              </w:rPr>
              <w:t>]; survey instrument (Additional file 2).</w:t>
            </w:r>
          </w:p>
        </w:tc>
      </w:tr>
      <w:tr w:rsidR="00D7736E" w14:paraId="439EA865" w14:textId="77777777">
        <w:trPr>
          <w:jc w:val="center"/>
        </w:trPr>
        <w:tc>
          <w:tcPr>
            <w:tcW w:w="900" w:type="dxa"/>
          </w:tcPr>
          <w:p w14:paraId="69020EB7" w14:textId="77777777" w:rsidR="00D7736E" w:rsidRDefault="000600B1">
            <w:r>
              <w:rPr>
                <w:b/>
                <w:sz w:val="16"/>
              </w:rPr>
              <w:t>D6</w:t>
            </w:r>
          </w:p>
        </w:tc>
        <w:tc>
          <w:tcPr>
            <w:tcW w:w="2800" w:type="dxa"/>
          </w:tcPr>
          <w:p w14:paraId="0EFB6BE8" w14:textId="77777777" w:rsidR="00D7736E" w:rsidRDefault="000600B1">
            <w:r>
              <w:rPr>
                <w:sz w:val="16"/>
              </w:rPr>
              <w:t>ERIC applied only at the interpretive stage, not to inform design or analysis; the term "implementation strategy" reserved for ERIC-framed recommendations.</w:t>
            </w:r>
          </w:p>
        </w:tc>
        <w:tc>
          <w:tcPr>
            <w:tcW w:w="3900" w:type="dxa"/>
          </w:tcPr>
          <w:p w14:paraId="5E676C8F" w14:textId="77777777" w:rsidR="00D7736E" w:rsidRDefault="000600B1">
            <w:r>
              <w:rPr>
                <w:sz w:val="16"/>
              </w:rPr>
              <w:t>ERIC entered the study after the determinants had been identified. Using the term for the rollout approaches reported by respondents would conflate what departments actually did with what the literature recommends.</w:t>
            </w:r>
          </w:p>
        </w:tc>
        <w:tc>
          <w:tcPr>
            <w:tcW w:w="4300" w:type="dxa"/>
          </w:tcPr>
          <w:p w14:paraId="40BC9C84" w14:textId="77777777" w:rsidR="00D7736E" w:rsidRDefault="000600B1">
            <w:r>
              <w:rPr>
                <w:sz w:val="16"/>
              </w:rPr>
              <w:t>Design and analysis rest on two frameworks (CFIR and Proctor), with ERIC as the inferential terminus. What respondents reported is described throughout as how the implementation was carried out (Table 3, Table S10), never as an implementation strategy.</w:t>
            </w:r>
          </w:p>
        </w:tc>
        <w:tc>
          <w:tcPr>
            <w:tcW w:w="2000" w:type="dxa"/>
          </w:tcPr>
          <w:p w14:paraId="1ECD4361" w14:textId="674CF332" w:rsidR="00D7736E" w:rsidRDefault="000600B1">
            <w:r>
              <w:rPr>
                <w:sz w:val="16"/>
              </w:rPr>
              <w:t>ERIC compilation [</w:t>
            </w:r>
            <w:r w:rsidR="00F55196">
              <w:rPr>
                <w:sz w:val="16"/>
              </w:rPr>
              <w:t>31</w:t>
            </w:r>
            <w:r>
              <w:rPr>
                <w:sz w:val="16"/>
              </w:rPr>
              <w:t>]; stated in Methods (Study design).</w:t>
            </w:r>
          </w:p>
        </w:tc>
      </w:tr>
      <w:tr w:rsidR="00D7736E" w14:paraId="62C92F9E" w14:textId="77777777">
        <w:trPr>
          <w:jc w:val="center"/>
        </w:trPr>
        <w:tc>
          <w:tcPr>
            <w:tcW w:w="900" w:type="dxa"/>
          </w:tcPr>
          <w:p w14:paraId="38AF0176" w14:textId="77777777" w:rsidR="00D7736E" w:rsidRDefault="000600B1">
            <w:r>
              <w:rPr>
                <w:b/>
                <w:sz w:val="16"/>
              </w:rPr>
              <w:t>D7</w:t>
            </w:r>
          </w:p>
        </w:tc>
        <w:tc>
          <w:tcPr>
            <w:tcW w:w="2800" w:type="dxa"/>
          </w:tcPr>
          <w:p w14:paraId="2CD7CC62" w14:textId="77777777" w:rsidR="00D7736E" w:rsidRDefault="000600B1">
            <w:r>
              <w:rPr>
                <w:sz w:val="16"/>
              </w:rPr>
              <w:t>Causal pathway diagrams applied retrospectively and determinant-centred rather than prospectively and strategy-centred.</w:t>
            </w:r>
          </w:p>
        </w:tc>
        <w:tc>
          <w:tcPr>
            <w:tcW w:w="3900" w:type="dxa"/>
          </w:tcPr>
          <w:p w14:paraId="6DC88E23" w14:textId="77777777" w:rsidR="00D7736E" w:rsidRDefault="000600B1">
            <w:r>
              <w:rPr>
                <w:sz w:val="16"/>
              </w:rPr>
              <w:t>The CPD method as specified begins with a defined strategy. The implementations studied here occurred largely without a formal strategy, so a prospective, strategy-first diagram could not be constructed from the data.</w:t>
            </w:r>
          </w:p>
        </w:tc>
        <w:tc>
          <w:tcPr>
            <w:tcW w:w="4300" w:type="dxa"/>
          </w:tcPr>
          <w:p w14:paraId="4201B9F1" w14:textId="5FEDF6B0" w:rsidR="00D7736E" w:rsidRDefault="000600B1">
            <w:r>
              <w:rPr>
                <w:sz w:val="16"/>
              </w:rPr>
              <w:t xml:space="preserve">The diagrams begin with observed determinants, pass through hypothesised mechanisms moderated by professional role, reach documented outcomes, and terminate in proposed ERIC strategies. </w:t>
            </w:r>
            <w:r w:rsidR="00C32B1E" w:rsidRPr="00C32B1E">
              <w:rPr>
                <w:sz w:val="16"/>
              </w:rPr>
              <w:t>The inversion preserves the logic of making the underlying assumptions explicit</w:t>
            </w:r>
            <w:r>
              <w:rPr>
                <w:sz w:val="16"/>
              </w:rPr>
              <w:t xml:space="preserve"> while fitting a cross-sectional design. </w:t>
            </w:r>
            <w:r w:rsidR="00C32B1E" w:rsidRPr="00C32B1E">
              <w:rPr>
                <w:sz w:val="16"/>
              </w:rPr>
              <w:t>To avoid implying tested causal effects in a cross-sectional design, the resulting figures are labelled determinant-to-strategy pathways rather than causal maps, while the underlying method is still credited as the causal pathway diagram (CPD). The ERIC strategies are outputs of the analysis, not evaluated pathway nodes</w:t>
            </w:r>
            <w:r>
              <w:rPr>
                <w:sz w:val="16"/>
              </w:rPr>
              <w:t>.</w:t>
            </w:r>
          </w:p>
        </w:tc>
        <w:tc>
          <w:tcPr>
            <w:tcW w:w="2000" w:type="dxa"/>
          </w:tcPr>
          <w:p w14:paraId="57473BAD" w14:textId="707E73CC" w:rsidR="00D7736E" w:rsidRDefault="000600B1">
            <w:r>
              <w:rPr>
                <w:sz w:val="16"/>
              </w:rPr>
              <w:t>Klasnja et al. [</w:t>
            </w:r>
            <w:r w:rsidR="00F55196">
              <w:rPr>
                <w:sz w:val="16"/>
              </w:rPr>
              <w:t>32</w:t>
            </w:r>
            <w:r>
              <w:rPr>
                <w:sz w:val="16"/>
              </w:rPr>
              <w:t>]; retrospective CPD application [33]; Figs. 1 and 3.</w:t>
            </w:r>
          </w:p>
        </w:tc>
      </w:tr>
      <w:tr w:rsidR="00D7736E" w14:paraId="0C7B22EC" w14:textId="77777777" w:rsidTr="008517CC">
        <w:trPr>
          <w:jc w:val="center"/>
        </w:trPr>
        <w:tc>
          <w:tcPr>
            <w:tcW w:w="14800" w:type="dxa"/>
            <w:gridSpan w:val="5"/>
          </w:tcPr>
          <w:p w14:paraId="5B349D15" w14:textId="77777777" w:rsidR="00D7736E" w:rsidRDefault="000600B1">
            <w:r>
              <w:rPr>
                <w:b/>
              </w:rPr>
              <w:t>E. Aggregation, estimation and reporting</w:t>
            </w:r>
          </w:p>
        </w:tc>
      </w:tr>
      <w:tr w:rsidR="00D7736E" w14:paraId="1F45F2F8" w14:textId="77777777">
        <w:trPr>
          <w:jc w:val="center"/>
        </w:trPr>
        <w:tc>
          <w:tcPr>
            <w:tcW w:w="900" w:type="dxa"/>
          </w:tcPr>
          <w:p w14:paraId="6AF7679C" w14:textId="77777777" w:rsidR="00D7736E" w:rsidRDefault="000600B1">
            <w:r>
              <w:rPr>
                <w:b/>
                <w:sz w:val="16"/>
              </w:rPr>
              <w:t>E1</w:t>
            </w:r>
          </w:p>
        </w:tc>
        <w:tc>
          <w:tcPr>
            <w:tcW w:w="2800" w:type="dxa"/>
          </w:tcPr>
          <w:p w14:paraId="304ECE7F" w14:textId="77777777" w:rsidR="00D7736E" w:rsidRDefault="000600B1">
            <w:r>
              <w:rPr>
                <w:sz w:val="16"/>
              </w:rPr>
              <w:t>Domain-level aggregation of CFIR determinants, computed as the total number of top-box responses divided by the maximum possible responses within the domain.</w:t>
            </w:r>
          </w:p>
        </w:tc>
        <w:tc>
          <w:tcPr>
            <w:tcW w:w="3900" w:type="dxa"/>
          </w:tcPr>
          <w:p w14:paraId="5A54BDAB" w14:textId="77777777" w:rsidR="00D7736E" w:rsidRDefault="000600B1">
            <w:r>
              <w:rPr>
                <w:sz w:val="16"/>
              </w:rPr>
              <w:t>Domains contain different numbers of constructs. Without normalisation, domains with more constructs would appear more influential purely as an artefact of item count.</w:t>
            </w:r>
          </w:p>
        </w:tc>
        <w:tc>
          <w:tcPr>
            <w:tcW w:w="4300" w:type="dxa"/>
          </w:tcPr>
          <w:p w14:paraId="7FFD39A9" w14:textId="77777777" w:rsidR="00D7736E" w:rsidRDefault="000600B1">
            <w:r>
              <w:rPr>
                <w:sz w:val="16"/>
              </w:rPr>
              <w:t>Permits comparison across domains, for example an Innovation barrier aggregate of 10% against 16% for Inner Setting. Trade-off: a high individual construct can be concealed within a low aggregate, as with Innovation Design at 24% inside an Innovation aggregate of 10%; construct-level figures are therefore always reported alongside.</w:t>
            </w:r>
          </w:p>
        </w:tc>
        <w:tc>
          <w:tcPr>
            <w:tcW w:w="2000" w:type="dxa"/>
          </w:tcPr>
          <w:p w14:paraId="309A01DB" w14:textId="77777777" w:rsidR="00D7736E" w:rsidRDefault="000600B1">
            <w:r>
              <w:rPr>
                <w:sz w:val="16"/>
              </w:rPr>
              <w:t>Denominators re-derived from the raw dataset for every aggregate; Tables 2 and 4.</w:t>
            </w:r>
          </w:p>
        </w:tc>
      </w:tr>
      <w:tr w:rsidR="00D7736E" w14:paraId="444C0E08" w14:textId="77777777">
        <w:trPr>
          <w:jc w:val="center"/>
        </w:trPr>
        <w:tc>
          <w:tcPr>
            <w:tcW w:w="900" w:type="dxa"/>
          </w:tcPr>
          <w:p w14:paraId="5986E7B6" w14:textId="77777777" w:rsidR="00D7736E" w:rsidRDefault="000600B1">
            <w:r>
              <w:rPr>
                <w:b/>
                <w:sz w:val="16"/>
              </w:rPr>
              <w:lastRenderedPageBreak/>
              <w:t>E2</w:t>
            </w:r>
          </w:p>
        </w:tc>
        <w:tc>
          <w:tcPr>
            <w:tcW w:w="2800" w:type="dxa"/>
          </w:tcPr>
          <w:p w14:paraId="2774263B" w14:textId="77777777" w:rsidR="00D7736E" w:rsidRDefault="000600B1">
            <w:r>
              <w:rPr>
                <w:sz w:val="16"/>
              </w:rPr>
              <w:t>Implementation Outcomes not aggregated.</w:t>
            </w:r>
          </w:p>
        </w:tc>
        <w:tc>
          <w:tcPr>
            <w:tcW w:w="3900" w:type="dxa"/>
          </w:tcPr>
          <w:p w14:paraId="2DEB7B9A" w14:textId="77777777" w:rsidR="00D7736E" w:rsidRDefault="000600B1">
            <w:r>
              <w:rPr>
                <w:sz w:val="16"/>
              </w:rPr>
              <w:t>Each Proctor outcome is a conceptually distinct construct rather than an indicator of a common latent domain, so a mean across them would have no interpretation.</w:t>
            </w:r>
          </w:p>
        </w:tc>
        <w:tc>
          <w:tcPr>
            <w:tcW w:w="4300" w:type="dxa"/>
          </w:tcPr>
          <w:p w14:paraId="3DF19870" w14:textId="2BA3B873" w:rsidR="00D7736E" w:rsidRDefault="00D95E74">
            <w:r w:rsidRPr="00D95E74">
              <w:rPr>
                <w:sz w:val="16"/>
              </w:rPr>
              <w:t>Table 6 and Additional file 4, Table S16 report seven separate outcomes with no summary figure</w:t>
            </w:r>
            <w:r w:rsidR="000600B1">
              <w:rPr>
                <w:sz w:val="16"/>
              </w:rPr>
              <w:t>. This is the reason no overall implementation outcome score appears anywhere in the manuscript.</w:t>
            </w:r>
          </w:p>
        </w:tc>
        <w:tc>
          <w:tcPr>
            <w:tcW w:w="2000" w:type="dxa"/>
          </w:tcPr>
          <w:p w14:paraId="7871E430" w14:textId="0ECB6C0D" w:rsidR="00D7736E" w:rsidRDefault="000600B1">
            <w:r>
              <w:rPr>
                <w:sz w:val="16"/>
              </w:rPr>
              <w:t>Proctor et al. [</w:t>
            </w:r>
            <w:r w:rsidR="00F55196">
              <w:rPr>
                <w:sz w:val="16"/>
              </w:rPr>
              <w:t>27</w:t>
            </w:r>
            <w:r>
              <w:rPr>
                <w:sz w:val="16"/>
              </w:rPr>
              <w:t>]; stated in Methods (Aggregation).</w:t>
            </w:r>
          </w:p>
        </w:tc>
      </w:tr>
      <w:tr w:rsidR="00D7736E" w14:paraId="5B832977" w14:textId="77777777">
        <w:trPr>
          <w:jc w:val="center"/>
        </w:trPr>
        <w:tc>
          <w:tcPr>
            <w:tcW w:w="900" w:type="dxa"/>
          </w:tcPr>
          <w:p w14:paraId="34C327D7" w14:textId="77777777" w:rsidR="00D7736E" w:rsidRDefault="000600B1">
            <w:r>
              <w:rPr>
                <w:b/>
                <w:sz w:val="16"/>
              </w:rPr>
              <w:t>E3</w:t>
            </w:r>
          </w:p>
        </w:tc>
        <w:tc>
          <w:tcPr>
            <w:tcW w:w="2800" w:type="dxa"/>
          </w:tcPr>
          <w:p w14:paraId="3DDC4244" w14:textId="77777777" w:rsidR="00D7736E" w:rsidRDefault="000600B1">
            <w:r>
              <w:rPr>
                <w:sz w:val="16"/>
              </w:rPr>
              <w:t>Cross-branch comparisons restricted, and the asymmetry between the two item batteries declared.</w:t>
            </w:r>
          </w:p>
        </w:tc>
        <w:tc>
          <w:tcPr>
            <w:tcW w:w="3900" w:type="dxa"/>
          </w:tcPr>
          <w:p w14:paraId="45E6F867" w14:textId="77777777" w:rsidR="00D7736E" w:rsidRDefault="000600B1">
            <w:r>
              <w:rPr>
                <w:sz w:val="16"/>
              </w:rPr>
              <w:t>The active-user and non-user batteries differ in composition. On the facilitator side the ten active-user constructs form a true subset of the thirteen presented to non-users. On the barrier side the batteries only partly overlap: Innovation Design was presented to active users only, and Partnerships and Connections, Compatibility and Incentive Systems to non-users only.</w:t>
            </w:r>
          </w:p>
        </w:tc>
        <w:tc>
          <w:tcPr>
            <w:tcW w:w="4300" w:type="dxa"/>
          </w:tcPr>
          <w:p w14:paraId="48D46F1E" w14:textId="77777777" w:rsidR="00D7736E" w:rsidRDefault="000600B1">
            <w:r>
              <w:rPr>
                <w:sz w:val="16"/>
              </w:rPr>
              <w:t>Facilitator comparisons between branches are valid; barrier comparisons are partial and are described as such. Domain-level aggregates are not comparable between branches at all, since the number and composition of items within each domain differ. Both constraints are stated in the Methods and again in the limitations.</w:t>
            </w:r>
          </w:p>
        </w:tc>
        <w:tc>
          <w:tcPr>
            <w:tcW w:w="2000" w:type="dxa"/>
          </w:tcPr>
          <w:p w14:paraId="18B7BABA" w14:textId="77777777" w:rsidR="00D7736E" w:rsidRDefault="000600B1">
            <w:r>
              <w:rPr>
                <w:sz w:val="16"/>
              </w:rPr>
              <w:t>Survey instrument (Additional file 2); construct lists compared item by item against Tables S19 and S20.</w:t>
            </w:r>
          </w:p>
        </w:tc>
      </w:tr>
      <w:tr w:rsidR="00D7736E" w14:paraId="56C56F45" w14:textId="77777777">
        <w:trPr>
          <w:jc w:val="center"/>
        </w:trPr>
        <w:tc>
          <w:tcPr>
            <w:tcW w:w="900" w:type="dxa"/>
          </w:tcPr>
          <w:p w14:paraId="51DAA766" w14:textId="77777777" w:rsidR="00D7736E" w:rsidRDefault="000600B1">
            <w:r>
              <w:rPr>
                <w:b/>
                <w:sz w:val="16"/>
              </w:rPr>
              <w:t>E4</w:t>
            </w:r>
          </w:p>
        </w:tc>
        <w:tc>
          <w:tcPr>
            <w:tcW w:w="2800" w:type="dxa"/>
          </w:tcPr>
          <w:p w14:paraId="4C54E6D8" w14:textId="77777777" w:rsidR="00D7736E" w:rsidRDefault="000600B1">
            <w:r>
              <w:rPr>
                <w:sz w:val="16"/>
              </w:rPr>
              <w:t>Wilson score 95% confidence intervals reported for every proportion that constitutes a study finding, and not for the tables describing the composition of the achieved sample.</w:t>
            </w:r>
          </w:p>
        </w:tc>
        <w:tc>
          <w:tcPr>
            <w:tcW w:w="3900" w:type="dxa"/>
          </w:tcPr>
          <w:p w14:paraId="7028D0CC" w14:textId="77777777" w:rsidR="00D7736E" w:rsidRDefault="000600B1">
            <w:r>
              <w:rPr>
                <w:sz w:val="16"/>
              </w:rPr>
              <w:t>The Wilson interval behaves well at small n and at proportions near 0 or 1, where the normal approximation fails and can produce impossible bounds. Sample composition tables describe the achieved sample rather than estimate a population quantity, so an interval would imply an inference that is not being made.</w:t>
            </w:r>
          </w:p>
        </w:tc>
        <w:tc>
          <w:tcPr>
            <w:tcW w:w="4300" w:type="dxa"/>
          </w:tcPr>
          <w:p w14:paraId="68DF0443" w14:textId="77777777" w:rsidR="00D7736E" w:rsidRDefault="000600B1">
            <w:r>
              <w:rPr>
                <w:sz w:val="16"/>
              </w:rPr>
              <w:t>All determinant, outcome and satisfaction proportions carry an interval; Table 1 and Tables S1 to S3 do not. The distinction is stated explicitly in the Methods. Most intervals are wide and overlap, which is consistent with the exploratory framing; proportions are therefore described in the text as observed values rather than as ranked differences, and superlatives refer to point estimates only.</w:t>
            </w:r>
          </w:p>
        </w:tc>
        <w:tc>
          <w:tcPr>
            <w:tcW w:w="2000" w:type="dxa"/>
          </w:tcPr>
          <w:p w14:paraId="4EB37CBE" w14:textId="587C9223" w:rsidR="00D7736E" w:rsidRDefault="000600B1">
            <w:r>
              <w:rPr>
                <w:sz w:val="16"/>
              </w:rPr>
              <w:t>Brown, Cai and DasGupta [</w:t>
            </w:r>
            <w:r w:rsidR="00F55196">
              <w:rPr>
                <w:sz w:val="16"/>
              </w:rPr>
              <w:t>22</w:t>
            </w:r>
            <w:r>
              <w:rPr>
                <w:sz w:val="16"/>
              </w:rPr>
              <w:t>]; all intervals recomputed independently from the raw counts.</w:t>
            </w:r>
          </w:p>
        </w:tc>
      </w:tr>
      <w:tr w:rsidR="00D7736E" w14:paraId="31BE3DA8" w14:textId="77777777">
        <w:trPr>
          <w:jc w:val="center"/>
        </w:trPr>
        <w:tc>
          <w:tcPr>
            <w:tcW w:w="900" w:type="dxa"/>
          </w:tcPr>
          <w:p w14:paraId="6F4A99A2" w14:textId="77777777" w:rsidR="00D7736E" w:rsidRDefault="000600B1">
            <w:r>
              <w:rPr>
                <w:b/>
                <w:sz w:val="16"/>
              </w:rPr>
              <w:t>E5</w:t>
            </w:r>
          </w:p>
        </w:tc>
        <w:tc>
          <w:tcPr>
            <w:tcW w:w="2800" w:type="dxa"/>
          </w:tcPr>
          <w:p w14:paraId="1BF4C773" w14:textId="77777777" w:rsidR="00D7736E" w:rsidRDefault="000600B1">
            <w:r>
              <w:rPr>
                <w:sz w:val="16"/>
              </w:rPr>
              <w:t>All proportions reported as integer percentages using round-half-to-even.</w:t>
            </w:r>
          </w:p>
        </w:tc>
        <w:tc>
          <w:tcPr>
            <w:tcW w:w="3900" w:type="dxa"/>
          </w:tcPr>
          <w:p w14:paraId="18945A53" w14:textId="77777777" w:rsidR="00D7736E" w:rsidRDefault="000600B1">
            <w:r>
              <w:rPr>
                <w:sz w:val="16"/>
              </w:rPr>
              <w:t>Decimal precision would imply an exactness the sample cannot support. Round-half-to-even avoids the systematic upward bias of round-half-up across a table of many proportions.</w:t>
            </w:r>
          </w:p>
        </w:tc>
        <w:tc>
          <w:tcPr>
            <w:tcW w:w="4300" w:type="dxa"/>
          </w:tcPr>
          <w:p w14:paraId="0E59E9F0" w14:textId="77777777" w:rsidR="00D7736E" w:rsidRDefault="000600B1">
            <w:r>
              <w:rPr>
                <w:sz w:val="16"/>
              </w:rPr>
              <w:t>Some columns do not sum to exactly 100%, which is noted where it occurs. Readers recomputing a figure from the counts may see a one-point difference where a value falls exactly on the half.</w:t>
            </w:r>
          </w:p>
        </w:tc>
        <w:tc>
          <w:tcPr>
            <w:tcW w:w="2000" w:type="dxa"/>
          </w:tcPr>
          <w:p w14:paraId="2A70501D" w14:textId="77777777" w:rsidR="00D7736E" w:rsidRDefault="000600B1">
            <w:r>
              <w:rPr>
                <w:sz w:val="16"/>
              </w:rPr>
              <w:t>Applied uniformly across all tables; verified by independent recomputation.</w:t>
            </w:r>
          </w:p>
        </w:tc>
      </w:tr>
      <w:tr w:rsidR="00D7736E" w14:paraId="4F1A39E4" w14:textId="77777777">
        <w:trPr>
          <w:jc w:val="center"/>
        </w:trPr>
        <w:tc>
          <w:tcPr>
            <w:tcW w:w="900" w:type="dxa"/>
          </w:tcPr>
          <w:p w14:paraId="6A5016B1" w14:textId="77777777" w:rsidR="00D7736E" w:rsidRDefault="000600B1">
            <w:r>
              <w:rPr>
                <w:b/>
                <w:sz w:val="16"/>
              </w:rPr>
              <w:t>E6</w:t>
            </w:r>
          </w:p>
        </w:tc>
        <w:tc>
          <w:tcPr>
            <w:tcW w:w="2800" w:type="dxa"/>
          </w:tcPr>
          <w:p w14:paraId="1D837B24" w14:textId="77777777" w:rsidR="00D7736E" w:rsidRDefault="000600B1">
            <w:r>
              <w:rPr>
                <w:sz w:val="16"/>
              </w:rPr>
              <w:t>Analyses restricted to descriptive statistics; no inferential hypothesis testing and no adjustment for multiplicity.</w:t>
            </w:r>
          </w:p>
        </w:tc>
        <w:tc>
          <w:tcPr>
            <w:tcW w:w="3900" w:type="dxa"/>
          </w:tcPr>
          <w:p w14:paraId="5817CAB3" w14:textId="77777777" w:rsidR="00D7736E" w:rsidRDefault="000600B1">
            <w:r>
              <w:rPr>
                <w:sz w:val="16"/>
              </w:rPr>
              <w:t>The study is exploratory and hypothesis-generating and was not powered for predefined inferential comparisons. Testing across a large number of constructs would invite chance findings and imply a confirmatory design that does not exist.</w:t>
            </w:r>
          </w:p>
        </w:tc>
        <w:tc>
          <w:tcPr>
            <w:tcW w:w="4300" w:type="dxa"/>
          </w:tcPr>
          <w:p w14:paraId="23C81ED4" w14:textId="77777777" w:rsidR="00D7736E" w:rsidRDefault="000600B1">
            <w:r>
              <w:rPr>
                <w:sz w:val="16"/>
              </w:rPr>
              <w:t>No p-values appear in the manuscript. Differences between subgroups are described as patterns and tendencies, never as significant or as effects. Ranking language is avoided where intervals overlap.</w:t>
            </w:r>
          </w:p>
        </w:tc>
        <w:tc>
          <w:tcPr>
            <w:tcW w:w="2000" w:type="dxa"/>
          </w:tcPr>
          <w:p w14:paraId="4F5370C6" w14:textId="77777777" w:rsidR="00D7736E" w:rsidRDefault="000600B1">
            <w:r>
              <w:rPr>
                <w:sz w:val="16"/>
              </w:rPr>
              <w:t>Stated in Methods (Data analysis) and in the limitations.</w:t>
            </w:r>
          </w:p>
        </w:tc>
      </w:tr>
      <w:tr w:rsidR="00D7736E" w14:paraId="7C270ADE" w14:textId="77777777">
        <w:trPr>
          <w:jc w:val="center"/>
        </w:trPr>
        <w:tc>
          <w:tcPr>
            <w:tcW w:w="900" w:type="dxa"/>
          </w:tcPr>
          <w:p w14:paraId="3C2BB120" w14:textId="77777777" w:rsidR="00D7736E" w:rsidRDefault="000600B1">
            <w:r>
              <w:rPr>
                <w:b/>
                <w:sz w:val="16"/>
              </w:rPr>
              <w:t>E7</w:t>
            </w:r>
          </w:p>
        </w:tc>
        <w:tc>
          <w:tcPr>
            <w:tcW w:w="2800" w:type="dxa"/>
          </w:tcPr>
          <w:p w14:paraId="7336F589" w14:textId="77777777" w:rsidR="00D7736E" w:rsidRDefault="000600B1">
            <w:r>
              <w:rPr>
                <w:sz w:val="16"/>
              </w:rPr>
              <w:t>Complete set of result tables published, including those not reproduced in the main text.</w:t>
            </w:r>
          </w:p>
        </w:tc>
        <w:tc>
          <w:tcPr>
            <w:tcW w:w="3900" w:type="dxa"/>
          </w:tcPr>
          <w:p w14:paraId="1E766B9A" w14:textId="77777777" w:rsidR="00D7736E" w:rsidRDefault="000600B1">
            <w:r>
              <w:rPr>
                <w:sz w:val="16"/>
              </w:rPr>
              <w:t>Publishing only the tables that support the narrative would leave selective reporting unfalsifiable.</w:t>
            </w:r>
          </w:p>
        </w:tc>
        <w:tc>
          <w:tcPr>
            <w:tcW w:w="4300" w:type="dxa"/>
          </w:tcPr>
          <w:p w14:paraId="400ABCE6" w14:textId="77777777" w:rsidR="00D7736E" w:rsidRDefault="000600B1">
            <w:r>
              <w:rPr>
                <w:sz w:val="16"/>
              </w:rPr>
              <w:t>All twenty tables are provided as Additional file 4, allowing any reported figure to be checked in context and any unreported construct to be inspected.</w:t>
            </w:r>
          </w:p>
        </w:tc>
        <w:tc>
          <w:tcPr>
            <w:tcW w:w="2000" w:type="dxa"/>
          </w:tcPr>
          <w:p w14:paraId="76FDA81B" w14:textId="77777777" w:rsidR="00D7736E" w:rsidRDefault="000600B1">
            <w:r>
              <w:rPr>
                <w:sz w:val="16"/>
              </w:rPr>
              <w:t>Additional file 4 (Tables S1 to S20).</w:t>
            </w:r>
          </w:p>
        </w:tc>
      </w:tr>
      <w:tr w:rsidR="00D7736E" w14:paraId="19FAE384" w14:textId="77777777" w:rsidTr="008517CC">
        <w:trPr>
          <w:jc w:val="center"/>
        </w:trPr>
        <w:tc>
          <w:tcPr>
            <w:tcW w:w="14800" w:type="dxa"/>
            <w:gridSpan w:val="5"/>
          </w:tcPr>
          <w:p w14:paraId="00D8D89E" w14:textId="77777777" w:rsidR="00D7736E" w:rsidRDefault="000600B1">
            <w:r>
              <w:rPr>
                <w:b/>
              </w:rPr>
              <w:t>F. Interpretation and finding-level decisions</w:t>
            </w:r>
          </w:p>
        </w:tc>
      </w:tr>
      <w:tr w:rsidR="00D7736E" w14:paraId="3282174C" w14:textId="77777777">
        <w:trPr>
          <w:jc w:val="center"/>
        </w:trPr>
        <w:tc>
          <w:tcPr>
            <w:tcW w:w="900" w:type="dxa"/>
          </w:tcPr>
          <w:p w14:paraId="48F708AF" w14:textId="77777777" w:rsidR="00D7736E" w:rsidRDefault="000600B1">
            <w:r>
              <w:rPr>
                <w:b/>
                <w:sz w:val="16"/>
              </w:rPr>
              <w:t>F1</w:t>
            </w:r>
          </w:p>
        </w:tc>
        <w:tc>
          <w:tcPr>
            <w:tcW w:w="2800" w:type="dxa"/>
          </w:tcPr>
          <w:p w14:paraId="4814FCB9" w14:textId="7653B606" w:rsidR="00D7736E" w:rsidRDefault="000600B1">
            <w:r>
              <w:rPr>
                <w:sz w:val="16"/>
              </w:rPr>
              <w:t>Three findings named and treated as proper nouns throughout: Champion-Driven Diffusion, Standardisation</w:t>
            </w:r>
            <w:r w:rsidR="00F55196">
              <w:rPr>
                <w:sz w:val="16"/>
              </w:rPr>
              <w:t>–</w:t>
            </w:r>
            <w:r>
              <w:rPr>
                <w:sz w:val="16"/>
              </w:rPr>
              <w:t>Complexity Mismatch, Adoption</w:t>
            </w:r>
            <w:r w:rsidR="00F55196">
              <w:rPr>
                <w:sz w:val="16"/>
              </w:rPr>
              <w:t>–</w:t>
            </w:r>
            <w:r>
              <w:rPr>
                <w:sz w:val="16"/>
              </w:rPr>
              <w:t>Sustainment Gap.</w:t>
            </w:r>
          </w:p>
        </w:tc>
        <w:tc>
          <w:tcPr>
            <w:tcW w:w="3900" w:type="dxa"/>
          </w:tcPr>
          <w:p w14:paraId="683030F4" w14:textId="639C4994" w:rsidR="00D7736E" w:rsidRDefault="000600B1">
            <w:r>
              <w:rPr>
                <w:sz w:val="16"/>
              </w:rPr>
              <w:t xml:space="preserve">Consistent naming keeps the abstract, results, discussion, figures and implications referring demonstrably to the same three </w:t>
            </w:r>
            <w:r w:rsidR="002B2C55">
              <w:rPr>
                <w:sz w:val="16"/>
              </w:rPr>
              <w:t>findings</w:t>
            </w:r>
            <w:r>
              <w:rPr>
                <w:sz w:val="16"/>
              </w:rPr>
              <w:t xml:space="preserve">, </w:t>
            </w:r>
            <w:r w:rsidR="002B2C55" w:rsidRPr="002B2C55">
              <w:rPr>
                <w:sz w:val="16"/>
              </w:rPr>
              <w:t>and makes the determinant-to-strategy pathway structure legible</w:t>
            </w:r>
            <w:r>
              <w:rPr>
                <w:sz w:val="16"/>
              </w:rPr>
              <w:t>.</w:t>
            </w:r>
          </w:p>
        </w:tc>
        <w:tc>
          <w:tcPr>
            <w:tcW w:w="4300" w:type="dxa"/>
          </w:tcPr>
          <w:p w14:paraId="1BD2E220" w14:textId="77777777" w:rsidR="00D7736E" w:rsidRDefault="000600B1">
            <w:r>
              <w:rPr>
                <w:sz w:val="16"/>
              </w:rPr>
              <w:t>Each finding maps to one panel of Fig. 3 and one discussion section. Risk: naming a pattern can lend it more solidity than the underlying estimates warrant; each is therefore accompanied by its interval-bearing source table and by the exploratory framing.</w:t>
            </w:r>
          </w:p>
        </w:tc>
        <w:tc>
          <w:tcPr>
            <w:tcW w:w="2000" w:type="dxa"/>
          </w:tcPr>
          <w:p w14:paraId="0439A52B" w14:textId="77777777" w:rsidR="00D7736E" w:rsidRDefault="000600B1">
            <w:r>
              <w:rPr>
                <w:sz w:val="16"/>
              </w:rPr>
              <w:t>Applied consistently; cross-checked across the whole manuscript.</w:t>
            </w:r>
          </w:p>
        </w:tc>
      </w:tr>
      <w:tr w:rsidR="00D7736E" w14:paraId="64C48328" w14:textId="77777777">
        <w:trPr>
          <w:jc w:val="center"/>
        </w:trPr>
        <w:tc>
          <w:tcPr>
            <w:tcW w:w="900" w:type="dxa"/>
          </w:tcPr>
          <w:p w14:paraId="43C48CAF" w14:textId="77777777" w:rsidR="00D7736E" w:rsidRDefault="000600B1">
            <w:r>
              <w:rPr>
                <w:b/>
                <w:sz w:val="16"/>
              </w:rPr>
              <w:t>F2</w:t>
            </w:r>
          </w:p>
        </w:tc>
        <w:tc>
          <w:tcPr>
            <w:tcW w:w="2800" w:type="dxa"/>
          </w:tcPr>
          <w:p w14:paraId="6655F9C0" w14:textId="77777777" w:rsidR="00D7736E" w:rsidRDefault="000600B1">
            <w:r>
              <w:rPr>
                <w:sz w:val="16"/>
              </w:rPr>
              <w:t>Professional role treated as a cross-cutting moderator of two of the three findings, not as a fourth parallel finding.</w:t>
            </w:r>
          </w:p>
        </w:tc>
        <w:tc>
          <w:tcPr>
            <w:tcW w:w="3900" w:type="dxa"/>
          </w:tcPr>
          <w:p w14:paraId="0B5B3556" w14:textId="7DA63DE1" w:rsidR="00D7736E" w:rsidRDefault="000600B1">
            <w:r>
              <w:rPr>
                <w:sz w:val="16"/>
              </w:rPr>
              <w:t>Role differences appear in the Standardisation</w:t>
            </w:r>
            <w:r w:rsidR="00F55196">
              <w:rPr>
                <w:sz w:val="16"/>
              </w:rPr>
              <w:t>–</w:t>
            </w:r>
            <w:r>
              <w:rPr>
                <w:sz w:val="16"/>
              </w:rPr>
              <w:t>Complexity Mismatch, where abdominal subspecialists report the greatest workflow friction, and in the Adoption</w:t>
            </w:r>
            <w:r w:rsidR="00F55196">
              <w:rPr>
                <w:sz w:val="16"/>
              </w:rPr>
              <w:t>–</w:t>
            </w:r>
            <w:r>
              <w:rPr>
                <w:sz w:val="16"/>
              </w:rPr>
              <w:t>Sustainment Gap, where general radiologists report the weakest sustained engagement. No comparable role difference appears in Champion-Driven Diffusion.</w:t>
            </w:r>
          </w:p>
        </w:tc>
        <w:tc>
          <w:tcPr>
            <w:tcW w:w="4300" w:type="dxa"/>
          </w:tcPr>
          <w:p w14:paraId="4519DE03" w14:textId="77777777" w:rsidR="00D7736E" w:rsidRDefault="000600B1">
            <w:r>
              <w:rPr>
                <w:sz w:val="16"/>
              </w:rPr>
              <w:t>The moderator is presented within the two findings it qualifies. The abstract, contributions and discussion all state the scope as two of three, so no section implies a general role effect.</w:t>
            </w:r>
          </w:p>
        </w:tc>
        <w:tc>
          <w:tcPr>
            <w:tcW w:w="2000" w:type="dxa"/>
          </w:tcPr>
          <w:p w14:paraId="0C66F4A8" w14:textId="1682FE50" w:rsidR="00D7736E" w:rsidRDefault="00D95E74">
            <w:r w:rsidRPr="00D95E74">
              <w:rPr>
                <w:sz w:val="16"/>
              </w:rPr>
              <w:t>Additional file 4, Tables S14 and S16</w:t>
            </w:r>
            <w:r w:rsidR="000600B1">
              <w:rPr>
                <w:sz w:val="16"/>
              </w:rPr>
              <w:t>; consistency checked across abstract, results and discussion.</w:t>
            </w:r>
          </w:p>
        </w:tc>
      </w:tr>
      <w:tr w:rsidR="00D7736E" w14:paraId="76C21629" w14:textId="77777777">
        <w:trPr>
          <w:jc w:val="center"/>
        </w:trPr>
        <w:tc>
          <w:tcPr>
            <w:tcW w:w="900" w:type="dxa"/>
          </w:tcPr>
          <w:p w14:paraId="61E88339" w14:textId="77777777" w:rsidR="00D7736E" w:rsidRDefault="000600B1">
            <w:r>
              <w:rPr>
                <w:b/>
                <w:sz w:val="16"/>
              </w:rPr>
              <w:t>F3</w:t>
            </w:r>
          </w:p>
        </w:tc>
        <w:tc>
          <w:tcPr>
            <w:tcW w:w="2800" w:type="dxa"/>
          </w:tcPr>
          <w:p w14:paraId="2FFF1EEA" w14:textId="77777777" w:rsidR="00D7736E" w:rsidRDefault="000600B1">
            <w:r>
              <w:rPr>
                <w:sz w:val="16"/>
              </w:rPr>
              <w:t>The provisional finding "Leadership-Frontline Perception Gap" retired.</w:t>
            </w:r>
          </w:p>
        </w:tc>
        <w:tc>
          <w:tcPr>
            <w:tcW w:w="3900" w:type="dxa"/>
          </w:tcPr>
          <w:p w14:paraId="6951BE7D" w14:textId="77777777" w:rsidR="00D7736E" w:rsidRDefault="000600B1">
            <w:r>
              <w:rPr>
                <w:sz w:val="16"/>
              </w:rPr>
              <w:t>Inspection of the raw data showed the pattern was not supportable at the level of a named finding: it rested on n=4 department heads and did not hold consistently across outcomes.</w:t>
            </w:r>
          </w:p>
        </w:tc>
        <w:tc>
          <w:tcPr>
            <w:tcW w:w="4300" w:type="dxa"/>
          </w:tcPr>
          <w:p w14:paraId="0005A631" w14:textId="77777777" w:rsidR="00D7736E" w:rsidRDefault="000600B1">
            <w:r>
              <w:rPr>
                <w:sz w:val="16"/>
              </w:rPr>
              <w:t>The underlying observations are retained where the data support them, as part of the role moderator (F2), rather than presented as an independent finding. Recorded here so that the change between analysis versions is traceable.</w:t>
            </w:r>
          </w:p>
        </w:tc>
        <w:tc>
          <w:tcPr>
            <w:tcW w:w="2000" w:type="dxa"/>
          </w:tcPr>
          <w:p w14:paraId="73C5650A" w14:textId="77777777" w:rsidR="00D7736E" w:rsidRDefault="000600B1">
            <w:r>
              <w:rPr>
                <w:sz w:val="16"/>
              </w:rPr>
              <w:t>Raw dataset; Table S16.</w:t>
            </w:r>
          </w:p>
        </w:tc>
      </w:tr>
      <w:tr w:rsidR="00D7736E" w14:paraId="2351A738" w14:textId="77777777">
        <w:trPr>
          <w:jc w:val="center"/>
        </w:trPr>
        <w:tc>
          <w:tcPr>
            <w:tcW w:w="900" w:type="dxa"/>
          </w:tcPr>
          <w:p w14:paraId="0ED90F52" w14:textId="77777777" w:rsidR="00D7736E" w:rsidRDefault="000600B1">
            <w:r>
              <w:rPr>
                <w:b/>
                <w:sz w:val="16"/>
              </w:rPr>
              <w:lastRenderedPageBreak/>
              <w:t>F3b</w:t>
            </w:r>
          </w:p>
        </w:tc>
        <w:tc>
          <w:tcPr>
            <w:tcW w:w="2800" w:type="dxa"/>
          </w:tcPr>
          <w:p w14:paraId="382D69F9" w14:textId="77777777" w:rsidR="00D7736E" w:rsidRDefault="000600B1">
            <w:r>
              <w:rPr>
                <w:sz w:val="16"/>
              </w:rPr>
              <w:t>Systematic differences in the department heads’ ratings retained as a separate observation rather than named as a finding or merged into the role moderator (F2).</w:t>
            </w:r>
          </w:p>
        </w:tc>
        <w:tc>
          <w:tcPr>
            <w:tcW w:w="3900" w:type="dxa"/>
          </w:tcPr>
          <w:p w14:paraId="41473D3D" w14:textId="77777777" w:rsidR="00D7736E" w:rsidRDefault="000600B1">
            <w:r>
              <w:rPr>
                <w:sz w:val="16"/>
              </w:rPr>
              <w:t>The leadership-level pattern is conceptually distinct from the role moderation in F2, which concerns abdominal against general radiologists. Naming it as a finding is not supportable at n=4, but removing it would discard a consistent and interpretable signal.</w:t>
            </w:r>
          </w:p>
        </w:tc>
        <w:tc>
          <w:tcPr>
            <w:tcW w:w="4300" w:type="dxa"/>
          </w:tcPr>
          <w:p w14:paraId="65052772" w14:textId="51609E06" w:rsidR="00D7736E" w:rsidRDefault="000600B1">
            <w:r>
              <w:rPr>
                <w:sz w:val="16"/>
              </w:rPr>
              <w:t>Reported as one paragraph within the Adoption</w:t>
            </w:r>
            <w:r w:rsidR="00F55196">
              <w:rPr>
                <w:sz w:val="16"/>
              </w:rPr>
              <w:t>–</w:t>
            </w:r>
            <w:r>
              <w:rPr>
                <w:sz w:val="16"/>
              </w:rPr>
              <w:t>Sustainment Gap, introduced as a separate role-related observation, carrying its own n=4 caveat. Wording checked so that no section implies a fourth finding or a general leadership effect.</w:t>
            </w:r>
          </w:p>
        </w:tc>
        <w:tc>
          <w:tcPr>
            <w:tcW w:w="2000" w:type="dxa"/>
          </w:tcPr>
          <w:p w14:paraId="11C73BE6" w14:textId="7D6D8C2F" w:rsidR="00D7736E" w:rsidRDefault="00D95E74">
            <w:r w:rsidRPr="00D95E74">
              <w:rPr>
                <w:sz w:val="16"/>
              </w:rPr>
              <w:t>Additional file 4, Tables S14 and S16</w:t>
            </w:r>
            <w:r w:rsidR="000600B1">
              <w:rPr>
                <w:sz w:val="16"/>
              </w:rPr>
              <w:t>.</w:t>
            </w:r>
          </w:p>
        </w:tc>
      </w:tr>
      <w:tr w:rsidR="00D7736E" w14:paraId="705DAE35" w14:textId="77777777">
        <w:trPr>
          <w:jc w:val="center"/>
        </w:trPr>
        <w:tc>
          <w:tcPr>
            <w:tcW w:w="900" w:type="dxa"/>
          </w:tcPr>
          <w:p w14:paraId="0E88DFD2" w14:textId="77777777" w:rsidR="00D7736E" w:rsidRDefault="000600B1">
            <w:r>
              <w:rPr>
                <w:b/>
                <w:sz w:val="16"/>
              </w:rPr>
              <w:t>F4</w:t>
            </w:r>
          </w:p>
        </w:tc>
        <w:tc>
          <w:tcPr>
            <w:tcW w:w="2800" w:type="dxa"/>
          </w:tcPr>
          <w:p w14:paraId="33FF31EA" w14:textId="77777777" w:rsidR="00D7736E" w:rsidRDefault="000600B1">
            <w:r>
              <w:rPr>
                <w:sz w:val="16"/>
              </w:rPr>
              <w:t>Free-text responses used only to triangulate and contextualise the quantitative results.</w:t>
            </w:r>
          </w:p>
        </w:tc>
        <w:tc>
          <w:tcPr>
            <w:tcW w:w="3900" w:type="dxa"/>
          </w:tcPr>
          <w:p w14:paraId="602AA171" w14:textId="77777777" w:rsidR="00D7736E" w:rsidRDefault="000600B1">
            <w:r>
              <w:rPr>
                <w:sz w:val="16"/>
              </w:rPr>
              <w:t>The free-text volume is too small and too unevenly distributed for systematic qualitative analysis, but the responses carry information relevant to interpreting the numeric patterns.</w:t>
            </w:r>
          </w:p>
        </w:tc>
        <w:tc>
          <w:tcPr>
            <w:tcW w:w="4300" w:type="dxa"/>
          </w:tcPr>
          <w:p w14:paraId="5E80582C" w14:textId="77777777" w:rsidR="00D7736E" w:rsidRDefault="000600B1">
            <w:r>
              <w:rPr>
                <w:sz w:val="16"/>
              </w:rPr>
              <w:t>Free text informs interpretation and is quoted only illustratively; no proportions or categories are derived from it. One free-text response also drove exclusion A2 and one drove A3.</w:t>
            </w:r>
          </w:p>
        </w:tc>
        <w:tc>
          <w:tcPr>
            <w:tcW w:w="2000" w:type="dxa"/>
          </w:tcPr>
          <w:p w14:paraId="7CC36DF1" w14:textId="77777777" w:rsidR="00D7736E" w:rsidRDefault="000600B1">
            <w:r>
              <w:rPr>
                <w:sz w:val="16"/>
              </w:rPr>
              <w:t>Reviewed by GA; stated in Methods (Data analysis).</w:t>
            </w:r>
          </w:p>
        </w:tc>
      </w:tr>
      <w:tr w:rsidR="00D7736E" w14:paraId="078539C4" w14:textId="77777777">
        <w:trPr>
          <w:jc w:val="center"/>
        </w:trPr>
        <w:tc>
          <w:tcPr>
            <w:tcW w:w="900" w:type="dxa"/>
          </w:tcPr>
          <w:p w14:paraId="54F12A9A" w14:textId="77777777" w:rsidR="00D7736E" w:rsidRDefault="000600B1">
            <w:r>
              <w:rPr>
                <w:b/>
                <w:sz w:val="16"/>
              </w:rPr>
              <w:t>F5</w:t>
            </w:r>
          </w:p>
        </w:tc>
        <w:tc>
          <w:tcPr>
            <w:tcW w:w="2800" w:type="dxa"/>
          </w:tcPr>
          <w:p w14:paraId="42FC3FD2" w14:textId="77777777" w:rsidR="00D7736E" w:rsidRDefault="000600B1">
            <w:r>
              <w:rPr>
                <w:sz w:val="16"/>
              </w:rPr>
              <w:t>Exploratory, hypothesis-generating framing maintained throughout, with causal language reserved for explicitly hypothesised mechanisms.</w:t>
            </w:r>
          </w:p>
        </w:tc>
        <w:tc>
          <w:tcPr>
            <w:tcW w:w="3900" w:type="dxa"/>
          </w:tcPr>
          <w:p w14:paraId="62292804" w14:textId="77777777" w:rsidR="00D7736E" w:rsidRDefault="000600B1">
            <w:r>
              <w:rPr>
                <w:sz w:val="16"/>
              </w:rPr>
              <w:t>The design is cross-sectional, the sample is small and self-selected, and no temporal ordering was measured, so no observed association can support a causal claim.</w:t>
            </w:r>
          </w:p>
        </w:tc>
        <w:tc>
          <w:tcPr>
            <w:tcW w:w="4300" w:type="dxa"/>
          </w:tcPr>
          <w:p w14:paraId="5FF0FB4A" w14:textId="77777777" w:rsidR="00D7736E" w:rsidRDefault="000600B1">
            <w:r>
              <w:rPr>
                <w:sz w:val="16"/>
              </w:rPr>
              <w:t>Results are worded descriptively and interpretation confined to the discussion. Mechanisms in Fig. 3 are labelled hypothesised. The proposed strategies are framed as candidates for prospective testing, not as evidence-based prescriptions for this setting.</w:t>
            </w:r>
          </w:p>
        </w:tc>
        <w:tc>
          <w:tcPr>
            <w:tcW w:w="2000" w:type="dxa"/>
          </w:tcPr>
          <w:p w14:paraId="3AE53DEB" w14:textId="77777777" w:rsidR="00D7736E" w:rsidRDefault="000600B1">
            <w:r>
              <w:rPr>
                <w:sz w:val="16"/>
              </w:rPr>
              <w:t>Applied throughout; stated in the limitations and conclusions.</w:t>
            </w:r>
          </w:p>
        </w:tc>
      </w:tr>
      <w:tr w:rsidR="00D7736E" w14:paraId="000CA3EF" w14:textId="77777777" w:rsidTr="002B2C55">
        <w:trPr>
          <w:jc w:val="center"/>
        </w:trPr>
        <w:tc>
          <w:tcPr>
            <w:tcW w:w="14800" w:type="dxa"/>
            <w:gridSpan w:val="5"/>
          </w:tcPr>
          <w:p w14:paraId="1D05BC11" w14:textId="77777777" w:rsidR="00D7736E" w:rsidRDefault="000600B1">
            <w:r>
              <w:rPr>
                <w:b/>
              </w:rPr>
              <w:t>G. Reporting, verification and transparency</w:t>
            </w:r>
          </w:p>
        </w:tc>
      </w:tr>
      <w:tr w:rsidR="00D7736E" w14:paraId="2217E2B5" w14:textId="77777777">
        <w:trPr>
          <w:jc w:val="center"/>
        </w:trPr>
        <w:tc>
          <w:tcPr>
            <w:tcW w:w="900" w:type="dxa"/>
          </w:tcPr>
          <w:p w14:paraId="7FF9AD6F" w14:textId="77777777" w:rsidR="00D7736E" w:rsidRDefault="000600B1">
            <w:r>
              <w:rPr>
                <w:b/>
                <w:sz w:val="16"/>
              </w:rPr>
              <w:t>G1</w:t>
            </w:r>
          </w:p>
        </w:tc>
        <w:tc>
          <w:tcPr>
            <w:tcW w:w="2800" w:type="dxa"/>
          </w:tcPr>
          <w:p w14:paraId="287F8293" w14:textId="77777777" w:rsidR="00D7736E" w:rsidRDefault="000600B1">
            <w:r>
              <w:rPr>
                <w:sz w:val="16"/>
              </w:rPr>
              <w:t>Reported in accordance with STROBE for cross-sectional studies; StaRI considered and not applied.</w:t>
            </w:r>
          </w:p>
        </w:tc>
        <w:tc>
          <w:tcPr>
            <w:tcW w:w="3900" w:type="dxa"/>
          </w:tcPr>
          <w:p w14:paraId="3EC0FD45" w14:textId="77777777" w:rsidR="00D7736E" w:rsidRDefault="000600B1">
            <w:r>
              <w:rPr>
                <w:sz w:val="16"/>
              </w:rPr>
              <w:t>STROBE fits an observational cross-sectional survey. StaRI presupposes a described and evaluated implementation strategy, which does not exist in a retrospective de facto implementation study of this kind.</w:t>
            </w:r>
          </w:p>
        </w:tc>
        <w:tc>
          <w:tcPr>
            <w:tcW w:w="4300" w:type="dxa"/>
          </w:tcPr>
          <w:p w14:paraId="0CC11EEE" w14:textId="77777777" w:rsidR="00D7736E" w:rsidRDefault="000600B1">
            <w:r>
              <w:rPr>
                <w:sz w:val="16"/>
              </w:rPr>
              <w:t>A completed STROBE checklist accompanies the submission. The reason for not using StaRI is stated so that its absence is not read as an omission.</w:t>
            </w:r>
          </w:p>
        </w:tc>
        <w:tc>
          <w:tcPr>
            <w:tcW w:w="2000" w:type="dxa"/>
          </w:tcPr>
          <w:p w14:paraId="67CC4249" w14:textId="77777777" w:rsidR="00D7736E" w:rsidRDefault="000600B1">
            <w:r>
              <w:rPr>
                <w:sz w:val="16"/>
              </w:rPr>
              <w:t>STROBE statement [34]; StaRI statement [35]; Additional file 5.</w:t>
            </w:r>
          </w:p>
        </w:tc>
      </w:tr>
      <w:tr w:rsidR="00D7736E" w14:paraId="5B4FF3C9" w14:textId="77777777">
        <w:trPr>
          <w:jc w:val="center"/>
        </w:trPr>
        <w:tc>
          <w:tcPr>
            <w:tcW w:w="900" w:type="dxa"/>
          </w:tcPr>
          <w:p w14:paraId="0960FAB8" w14:textId="77777777" w:rsidR="00D7736E" w:rsidRDefault="000600B1">
            <w:r>
              <w:rPr>
                <w:b/>
                <w:sz w:val="16"/>
              </w:rPr>
              <w:t>G2</w:t>
            </w:r>
          </w:p>
        </w:tc>
        <w:tc>
          <w:tcPr>
            <w:tcW w:w="2800" w:type="dxa"/>
          </w:tcPr>
          <w:p w14:paraId="687F2AD3" w14:textId="77777777" w:rsidR="00D7736E" w:rsidRDefault="000600B1">
            <w:r>
              <w:rPr>
                <w:sz w:val="16"/>
              </w:rPr>
              <w:t>Use of a large language model declared, with all computations and statements verified by the authors.</w:t>
            </w:r>
          </w:p>
        </w:tc>
        <w:tc>
          <w:tcPr>
            <w:tcW w:w="3900" w:type="dxa"/>
          </w:tcPr>
          <w:p w14:paraId="719AD384" w14:textId="77777777" w:rsidR="00D7736E" w:rsidRDefault="000600B1">
            <w:r>
              <w:rPr>
                <w:sz w:val="16"/>
              </w:rPr>
              <w:t>Transparency about computational and editorial assistance, and about the boundary between assistance and authorship.</w:t>
            </w:r>
          </w:p>
        </w:tc>
        <w:tc>
          <w:tcPr>
            <w:tcW w:w="4300" w:type="dxa"/>
          </w:tcPr>
          <w:p w14:paraId="5BB15A40" w14:textId="77777777" w:rsidR="00D7736E" w:rsidRDefault="000600B1">
            <w:r>
              <w:rPr>
                <w:sz w:val="16"/>
              </w:rPr>
              <w:t>The model assisted with proportion and interval computation, preliminary figure drafts, language editing and consistency checking. All methodological decisions, interpretations and conclusions are the authors’ own; every computation was verified against the source data. The model does not meet authorship criteria and is not listed as an author.</w:t>
            </w:r>
          </w:p>
        </w:tc>
        <w:tc>
          <w:tcPr>
            <w:tcW w:w="2000" w:type="dxa"/>
          </w:tcPr>
          <w:p w14:paraId="3DE02749" w14:textId="77777777" w:rsidR="00D7736E" w:rsidRDefault="000600B1">
            <w:r>
              <w:rPr>
                <w:sz w:val="16"/>
              </w:rPr>
              <w:t>Declared in the manuscript.</w:t>
            </w:r>
          </w:p>
        </w:tc>
      </w:tr>
      <w:tr w:rsidR="00D7736E" w14:paraId="3E14FAFD" w14:textId="77777777">
        <w:trPr>
          <w:jc w:val="center"/>
        </w:trPr>
        <w:tc>
          <w:tcPr>
            <w:tcW w:w="900" w:type="dxa"/>
          </w:tcPr>
          <w:p w14:paraId="25483ED0" w14:textId="77777777" w:rsidR="00D7736E" w:rsidRDefault="000600B1">
            <w:r>
              <w:rPr>
                <w:b/>
                <w:sz w:val="16"/>
              </w:rPr>
              <w:t>G3</w:t>
            </w:r>
          </w:p>
        </w:tc>
        <w:tc>
          <w:tcPr>
            <w:tcW w:w="2800" w:type="dxa"/>
          </w:tcPr>
          <w:p w14:paraId="5F9E6E67" w14:textId="79296B33" w:rsidR="00D7736E" w:rsidRDefault="000600B1">
            <w:r>
              <w:rPr>
                <w:sz w:val="16"/>
              </w:rPr>
              <w:t>All reported figures verified cell by cell against the confidence-interval workbook and the raw dataset.</w:t>
            </w:r>
          </w:p>
        </w:tc>
        <w:tc>
          <w:tcPr>
            <w:tcW w:w="3900" w:type="dxa"/>
          </w:tcPr>
          <w:p w14:paraId="5BFE5223" w14:textId="3ED7B7A2" w:rsidR="00D7736E" w:rsidRDefault="00010B0E">
            <w:r>
              <w:rPr>
                <w:sz w:val="16"/>
              </w:rPr>
              <w:t>E</w:t>
            </w:r>
            <w:r w:rsidR="000600B1">
              <w:rPr>
                <w:sz w:val="16"/>
              </w:rPr>
              <w:t xml:space="preserve">very value in the manuscript </w:t>
            </w:r>
            <w:r>
              <w:rPr>
                <w:sz w:val="16"/>
              </w:rPr>
              <w:t xml:space="preserve">has been checked and </w:t>
            </w:r>
            <w:r w:rsidR="000600B1">
              <w:rPr>
                <w:sz w:val="16"/>
              </w:rPr>
              <w:t xml:space="preserve">re-checked against </w:t>
            </w:r>
            <w:r>
              <w:rPr>
                <w:sz w:val="16"/>
              </w:rPr>
              <w:t>the latest version of the workbook</w:t>
            </w:r>
            <w:r w:rsidR="000600B1">
              <w:rPr>
                <w:sz w:val="16"/>
              </w:rPr>
              <w:t xml:space="preserve"> and against the raw counts</w:t>
            </w:r>
            <w:r>
              <w:rPr>
                <w:sz w:val="16"/>
              </w:rPr>
              <w:t xml:space="preserve"> of the raw dataset</w:t>
            </w:r>
            <w:r w:rsidR="000600B1">
              <w:rPr>
                <w:sz w:val="16"/>
              </w:rPr>
              <w:t>.</w:t>
            </w:r>
          </w:p>
        </w:tc>
        <w:tc>
          <w:tcPr>
            <w:tcW w:w="4300" w:type="dxa"/>
          </w:tcPr>
          <w:p w14:paraId="46A1F80F" w14:textId="530FFD65" w:rsidR="00D7736E" w:rsidRDefault="000600B1">
            <w:r>
              <w:rPr>
                <w:sz w:val="16"/>
              </w:rPr>
              <w:t xml:space="preserve">Tables 1 to </w:t>
            </w:r>
            <w:r w:rsidR="00D95E74">
              <w:rPr>
                <w:sz w:val="16"/>
              </w:rPr>
              <w:t>6</w:t>
            </w:r>
            <w:r>
              <w:rPr>
                <w:sz w:val="16"/>
              </w:rPr>
              <w:t xml:space="preserve"> and the supplementary tables are traceable to raw counts.</w:t>
            </w:r>
          </w:p>
        </w:tc>
        <w:tc>
          <w:tcPr>
            <w:tcW w:w="2000" w:type="dxa"/>
          </w:tcPr>
          <w:p w14:paraId="4EB62E24" w14:textId="3ED5DAC4" w:rsidR="00D7736E" w:rsidRDefault="008C6709">
            <w:r>
              <w:rPr>
                <w:sz w:val="16"/>
              </w:rPr>
              <w:t>Latest version or workbook</w:t>
            </w:r>
            <w:r w:rsidR="000600B1">
              <w:rPr>
                <w:sz w:val="16"/>
              </w:rPr>
              <w:t>; raw dataset.</w:t>
            </w:r>
          </w:p>
        </w:tc>
      </w:tr>
    </w:tbl>
    <w:p w14:paraId="45ED8291" w14:textId="77777777" w:rsidR="00D7736E" w:rsidRDefault="00D7736E"/>
    <w:p w14:paraId="43B6D988" w14:textId="77777777" w:rsidR="00D7736E" w:rsidRDefault="000600B1">
      <w:pPr>
        <w:spacing w:after="80"/>
      </w:pPr>
      <w:r>
        <w:rPr>
          <w:sz w:val="16"/>
        </w:rPr>
        <w:t>Abbreviations: CFIR, Consolidated Framework for Implementation Research; CPD, causal pathway diagram; CI, confidence interval; ERIC, Expert Recommendations for Implementing Change; IOM, Institute of Medicine; MDT, multidisciplinary team; n, number of respondents; StaRI, Standards for Reporting Implementation Studies; STROBE, Strengthening the Reporting of Observational Studies in Epidemiology.</w:t>
      </w:r>
    </w:p>
    <w:p w14:paraId="58C3FC9D" w14:textId="77777777" w:rsidR="00D7736E" w:rsidRPr="002B2C55" w:rsidRDefault="000600B1">
      <w:pPr>
        <w:spacing w:after="120"/>
        <w:rPr>
          <w:iCs/>
        </w:rPr>
      </w:pPr>
      <w:r w:rsidRPr="002B2C55">
        <w:rPr>
          <w:iCs/>
          <w:sz w:val="16"/>
        </w:rPr>
        <w:t>Reference numbers in the final column correspond to the reference list of the main manuscript.</w:t>
      </w:r>
    </w:p>
    <w:sectPr w:rsidR="00D7736E" w:rsidRPr="002B2C55" w:rsidSect="00034616">
      <w:pgSz w:w="16838" w:h="11906" w:orient="landscape"/>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num w:numId="1" w16cid:durableId="444887991">
    <w:abstractNumId w:val="8"/>
  </w:num>
  <w:num w:numId="2" w16cid:durableId="91245380">
    <w:abstractNumId w:val="6"/>
  </w:num>
  <w:num w:numId="3" w16cid:durableId="977030413">
    <w:abstractNumId w:val="5"/>
  </w:num>
  <w:num w:numId="4" w16cid:durableId="1578323273">
    <w:abstractNumId w:val="4"/>
  </w:num>
  <w:num w:numId="5" w16cid:durableId="542517506">
    <w:abstractNumId w:val="7"/>
  </w:num>
  <w:num w:numId="6" w16cid:durableId="4401123">
    <w:abstractNumId w:val="3"/>
  </w:num>
  <w:num w:numId="7" w16cid:durableId="1926496855">
    <w:abstractNumId w:val="2"/>
  </w:num>
  <w:num w:numId="8" w16cid:durableId="1773475249">
    <w:abstractNumId w:val="1"/>
  </w:num>
  <w:num w:numId="9" w16cid:durableId="1469475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B0E"/>
    <w:rsid w:val="00012F48"/>
    <w:rsid w:val="00034616"/>
    <w:rsid w:val="000600B1"/>
    <w:rsid w:val="0006063C"/>
    <w:rsid w:val="00072FD9"/>
    <w:rsid w:val="0015074B"/>
    <w:rsid w:val="0029639D"/>
    <w:rsid w:val="002B2C55"/>
    <w:rsid w:val="00326F90"/>
    <w:rsid w:val="003D1799"/>
    <w:rsid w:val="004B39FD"/>
    <w:rsid w:val="004C6022"/>
    <w:rsid w:val="004D5E42"/>
    <w:rsid w:val="005426CC"/>
    <w:rsid w:val="006A5D69"/>
    <w:rsid w:val="006C77F1"/>
    <w:rsid w:val="008517CC"/>
    <w:rsid w:val="008C6709"/>
    <w:rsid w:val="00AA1D8D"/>
    <w:rsid w:val="00B30185"/>
    <w:rsid w:val="00B47730"/>
    <w:rsid w:val="00C32B1E"/>
    <w:rsid w:val="00CA551F"/>
    <w:rsid w:val="00CB0664"/>
    <w:rsid w:val="00CF5BFB"/>
    <w:rsid w:val="00D7736E"/>
    <w:rsid w:val="00D95E74"/>
    <w:rsid w:val="00E73A39"/>
    <w:rsid w:val="00F551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85AFC8"/>
  <w14:defaultImageDpi w14:val="300"/>
  <w15:docId w15:val="{4E0FBE2F-47AA-4D02-A5E7-F910BF663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0"/>
    </w:rPr>
  </w:style>
  <w:style w:type="paragraph" w:styleId="Rubrik1">
    <w:name w:val="heading 1"/>
    <w:basedOn w:val="Normal"/>
    <w:next w:val="Normal"/>
    <w:link w:val="Rubri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4267</Words>
  <Characters>22621</Characters>
  <Application>Microsoft Office Word</Application>
  <DocSecurity>0</DocSecurity>
  <Lines>188</Lines>
  <Paragraphs>53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26835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 Alvfeldt</dc:creator>
  <cp:keywords/>
  <dc:description>generated by python-docx</dc:description>
  <cp:lastModifiedBy>Gustav Alvfeldt</cp:lastModifiedBy>
  <cp:revision>3</cp:revision>
  <dcterms:created xsi:type="dcterms:W3CDTF">2026-09-02T14:46:00Z</dcterms:created>
  <dcterms:modified xsi:type="dcterms:W3CDTF">2026-09-02T15:04:00Z</dcterms:modified>
  <cp:category/>
</cp:coreProperties>
</file>