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D00FB" w14:textId="77777777" w:rsidR="00605504" w:rsidRDefault="000E1A2B">
      <w:pPr>
        <w:pStyle w:val="1"/>
        <w:spacing w:before="240" w:after="120" w:line="480" w:lineRule="auto"/>
        <w:rPr>
          <w:color w:val="auto"/>
        </w:rPr>
      </w:pPr>
      <w:r>
        <w:rPr>
          <w:rFonts w:ascii="Arial" w:eastAsia="Arial" w:hAnsi="Arial" w:cs="Arial"/>
          <w:color w:val="auto"/>
        </w:rPr>
        <w:t>Additional file 1. Supplementary tables and figures</w:t>
      </w:r>
    </w:p>
    <w:p w14:paraId="765B5A79" w14:textId="77777777" w:rsidR="00605504" w:rsidRDefault="000E1A2B">
      <w:pPr>
        <w:pStyle w:val="21"/>
        <w:spacing w:before="160" w:after="120" w:line="480" w:lineRule="auto"/>
        <w:rPr>
          <w:rFonts w:ascii="Arial" w:eastAsia="Arial" w:hAnsi="Arial" w:cs="Arial"/>
          <w:sz w:val="24"/>
        </w:rPr>
      </w:pPr>
      <w:r>
        <w:rPr>
          <w:rFonts w:ascii="Arial" w:eastAsia="Arial" w:hAnsi="Arial" w:cs="Arial"/>
          <w:sz w:val="24"/>
        </w:rPr>
        <w:t>Supplementary Results</w:t>
      </w:r>
    </w:p>
    <w:p w14:paraId="29AAC420" w14:textId="39F013BD" w:rsidR="00605504" w:rsidRDefault="000E1A2B">
      <w:pPr>
        <w:spacing w:after="120" w:line="480" w:lineRule="auto"/>
      </w:pPr>
      <w:r>
        <w:t>Before propensity score adjustment, the largest imbalances were observed for</w:t>
      </w:r>
      <w:r w:rsidR="00C10AED">
        <w:t xml:space="preserve"> the</w:t>
      </w:r>
      <w:r>
        <w:t xml:space="preserve"> age at index date, residential area, smoking status, income level, alcohol consumption, and sex. After 1:1 propensity score matching, all measured covariates had maximum absolute standardized mean differences </w:t>
      </w:r>
      <w:r w:rsidR="00C10AED">
        <w:t>&lt;</w:t>
      </w:r>
      <w:r>
        <w:t>0.10. After inverse probability of treatment weighting, covariate balance was substantially improved for most variables</w:t>
      </w:r>
      <w:r w:rsidR="00C10AED">
        <w:t>; however,</w:t>
      </w:r>
      <w:r>
        <w:t xml:space="preserve"> age remained marginally above the conventional threshold of 0.10 (maximum absolute SMD = 0.1001</w:t>
      </w:r>
      <w:r w:rsidR="00C10AED">
        <w:t xml:space="preserve">; </w:t>
      </w:r>
      <w:r>
        <w:t>Fig. S1 and Table S1).</w:t>
      </w:r>
    </w:p>
    <w:p w14:paraId="1732D652" w14:textId="7AAFE89E" w:rsidR="00605504" w:rsidRDefault="000E1A2B">
      <w:pPr>
        <w:spacing w:after="120" w:line="480" w:lineRule="auto"/>
      </w:pPr>
      <w:r>
        <w:t xml:space="preserve">The original stabilized IPTW had a mean </w:t>
      </w:r>
      <w:r w:rsidR="00C10AED">
        <w:t>±</w:t>
      </w:r>
      <w:r>
        <w:t xml:space="preserve"> standard deviation of </w:t>
      </w:r>
      <w:r w:rsidR="00C10AED">
        <w:t xml:space="preserve">0.999 ± </w:t>
      </w:r>
      <w:r>
        <w:t>0.205</w:t>
      </w:r>
      <w:r w:rsidR="00C10AED">
        <w:t xml:space="preserve"> (</w:t>
      </w:r>
      <w:r>
        <w:t>range 0.320</w:t>
      </w:r>
      <w:r w:rsidR="00C10AED">
        <w:t>–</w:t>
      </w:r>
      <w:r>
        <w:t>8.099</w:t>
      </w:r>
      <w:r w:rsidR="00C10AED">
        <w:t>)</w:t>
      </w:r>
      <w:r>
        <w:t>. After truncation at the 1st and 99th percentiles, the mean weight was 0.994 and the standard deviation decreased to 0.162</w:t>
      </w:r>
      <w:r w:rsidR="00C10AED">
        <w:t xml:space="preserve"> (</w:t>
      </w:r>
      <w:r>
        <w:t>range 0.503</w:t>
      </w:r>
      <w:r w:rsidR="00C10AED">
        <w:t>–</w:t>
      </w:r>
      <w:r>
        <w:t>1.771</w:t>
      </w:r>
      <w:r w:rsidR="00C10AED">
        <w:t>)</w:t>
      </w:r>
      <w:r>
        <w:t>. The reduction in skewness from 5.117 to 1.057 indicated improved stability of the weighting distribution after truncation (Table S2).</w:t>
      </w:r>
    </w:p>
    <w:p w14:paraId="1454C156" w14:textId="61428893" w:rsidR="00605504" w:rsidRDefault="000E1A2B">
      <w:pPr>
        <w:spacing w:line="480" w:lineRule="auto"/>
      </w:pPr>
      <w:r>
        <w:t>In the 1-year lag sensitivity analysis, 1,746 participants were excluded because they entered long-term care insurance (LTCI) or died before LTCI entry within the first year after the index date. After re-starting follow-up on January 1, 2016, the association remained nearly unchanged in the fully adjusted Fine–Gray model (sHR, 0.69; 95% CI, 0.63</w:t>
      </w:r>
      <w:r w:rsidR="00C10AED">
        <w:t>–</w:t>
      </w:r>
      <w:r>
        <w:t xml:space="preserve">0.76; </w:t>
      </w:r>
      <w:r w:rsidR="00C10AED">
        <w:rPr>
          <w:i/>
          <w:iCs/>
        </w:rPr>
        <w:t>p</w:t>
      </w:r>
      <w:r w:rsidR="00C10AED">
        <w:t xml:space="preserve"> </w:t>
      </w:r>
      <w:r>
        <w:t>&lt; 0.001</w:t>
      </w:r>
      <w:r w:rsidR="00C10AED">
        <w:t xml:space="preserve">; </w:t>
      </w:r>
      <w:r>
        <w:t>Table S3).</w:t>
      </w:r>
    </w:p>
    <w:p w14:paraId="1289C6E7" w14:textId="3A65C60D" w:rsidR="00605504" w:rsidRDefault="000E1A2B">
      <w:pPr>
        <w:spacing w:after="120" w:line="480" w:lineRule="auto"/>
      </w:pPr>
      <w:r>
        <w:lastRenderedPageBreak/>
        <w:t>The scaling-by-log-time interaction was not statistically significant in the fully adjusted Fine</w:t>
      </w:r>
      <w:r w:rsidR="00C10AED">
        <w:t>–</w:t>
      </w:r>
      <w:r>
        <w:t>Gray model (exp[β], 1.09; 95% CI, 0.96</w:t>
      </w:r>
      <w:r w:rsidR="00C10AED">
        <w:t>–</w:t>
      </w:r>
      <w:r>
        <w:t xml:space="preserve">1.24; </w:t>
      </w:r>
      <w:r w:rsidR="00C10AED">
        <w:rPr>
          <w:i/>
          <w:iCs/>
        </w:rPr>
        <w:t>p</w:t>
      </w:r>
      <w:r w:rsidR="00C10AED">
        <w:t xml:space="preserve"> </w:t>
      </w:r>
      <w:r>
        <w:t>= 0.177), suggesting no clear evidence that the association between dental scaling and LTCI entry varied over follow-up.</w:t>
      </w:r>
      <w:r w:rsidR="00C10AED">
        <w:t xml:space="preserve"> The results of the</w:t>
      </w:r>
      <w:r>
        <w:t xml:space="preserve"> Schoenfeld residual-based assessment was consistent with this finding for dental scaling status, with</w:t>
      </w:r>
      <w:r w:rsidR="00C10AED">
        <w:t>out</w:t>
      </w:r>
      <w:r>
        <w:t xml:space="preserve"> significant correlation between the dental scaling residual and either follow-up time (ρ = 0.00894; </w:t>
      </w:r>
      <w:r w:rsidR="00C10AED">
        <w:rPr>
          <w:i/>
          <w:iCs/>
        </w:rPr>
        <w:t>p</w:t>
      </w:r>
      <w:r w:rsidR="00C10AED">
        <w:t xml:space="preserve"> </w:t>
      </w:r>
      <w:r>
        <w:t xml:space="preserve">= 0.455) or log-transformed follow-up time (ρ = 0.01513; </w:t>
      </w:r>
      <w:r w:rsidR="00C10AED">
        <w:rPr>
          <w:i/>
          <w:iCs/>
        </w:rPr>
        <w:t>p</w:t>
      </w:r>
      <w:r w:rsidR="00C10AED">
        <w:t xml:space="preserve"> </w:t>
      </w:r>
      <w:r>
        <w:t>= 0.206) (Table S4).</w:t>
      </w:r>
    </w:p>
    <w:p w14:paraId="4AA04A68" w14:textId="27FC6306" w:rsidR="00605504" w:rsidRDefault="000E1A2B">
      <w:pPr>
        <w:spacing w:before="160" w:after="80" w:line="480" w:lineRule="auto"/>
        <w:rPr>
          <w:b/>
        </w:rPr>
      </w:pPr>
      <w:r>
        <w:rPr>
          <w:b/>
        </w:rPr>
        <w:t>Fig. S1. Covariate balance before and after</w:t>
      </w:r>
      <w:r w:rsidR="00622046">
        <w:rPr>
          <w:b/>
        </w:rPr>
        <w:t xml:space="preserve"> the application of</w:t>
      </w:r>
      <w:r>
        <w:rPr>
          <w:b/>
        </w:rPr>
        <w:t xml:space="preserve"> propensity score methods</w:t>
      </w:r>
    </w:p>
    <w:p w14:paraId="0253645B" w14:textId="77777777" w:rsidR="00605504" w:rsidRDefault="000E1A2B">
      <w:pPr>
        <w:spacing w:after="120" w:line="480" w:lineRule="auto"/>
      </w:pPr>
      <w:r>
        <w:rPr>
          <w:noProof/>
        </w:rPr>
        <w:drawing>
          <wp:inline distT="0" distB="0" distL="0" distR="0" wp14:anchorId="798BDCF3" wp14:editId="05A846F9">
            <wp:extent cx="3640128" cy="2721365"/>
            <wp:effectExtent l="0" t="0" r="0" b="317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984462286"/>
                    <pic:cNvPicPr/>
                  </pic:nvPicPr>
                  <pic:blipFill>
                    <a:blip r:embed="rId7"/>
                    <a:stretch>
                      <a:fillRect/>
                    </a:stretch>
                  </pic:blipFill>
                  <pic:spPr>
                    <a:xfrm>
                      <a:off x="0" y="0"/>
                      <a:ext cx="3658121" cy="2734817"/>
                    </a:xfrm>
                    <a:prstGeom prst="rect">
                      <a:avLst/>
                    </a:prstGeom>
                  </pic:spPr>
                </pic:pic>
              </a:graphicData>
            </a:graphic>
          </wp:inline>
        </w:drawing>
      </w:r>
    </w:p>
    <w:p w14:paraId="543DB21A" w14:textId="77777777" w:rsidR="00605504" w:rsidRDefault="000E1A2B">
      <w:pPr>
        <w:spacing w:after="160" w:line="480" w:lineRule="auto"/>
        <w:rPr>
          <w:sz w:val="18"/>
        </w:rPr>
      </w:pPr>
      <w:r>
        <w:rPr>
          <w:sz w:val="18"/>
        </w:rPr>
        <w:t>Fig. S1. Points indicate absolute standardized mean differences before propensity score adjustment, after 1:1 propensity score matching, and after inverse probability of treatment weighting. For categorical variables with more than two levels, the maximum absolute standardized mean difference across category-</w:t>
      </w:r>
      <w:r>
        <w:rPr>
          <w:sz w:val="18"/>
        </w:rPr>
        <w:lastRenderedPageBreak/>
        <w:t>specific indicators is shown. The dashed vertical line indicates an absolute standardized mean difference of 0.10. I</w:t>
      </w:r>
      <w:r>
        <w:rPr>
          <w:sz w:val="18"/>
        </w:rPr>
        <w:t>PTW, inverse probability of treatment weighting; PSM, propensity score matching; SMD, standardized mean difference.</w:t>
      </w:r>
    </w:p>
    <w:p w14:paraId="5DE66E61" w14:textId="77777777" w:rsidR="00605504" w:rsidRDefault="000E1A2B">
      <w:pPr>
        <w:spacing w:before="160" w:after="80" w:line="480" w:lineRule="auto"/>
        <w:rPr>
          <w:b/>
        </w:rPr>
      </w:pPr>
      <w:r>
        <w:rPr>
          <w:b/>
        </w:rPr>
        <w:t>Table S1. Covariate balance after propensity score methods</w:t>
      </w:r>
    </w:p>
    <w:tbl>
      <w:tblPr>
        <w:tblStyle w:val="28"/>
        <w:tblW w:w="0" w:type="auto"/>
        <w:tblLook w:val="04A0" w:firstRow="1" w:lastRow="0" w:firstColumn="1" w:lastColumn="0" w:noHBand="0" w:noVBand="1"/>
      </w:tblPr>
      <w:tblGrid>
        <w:gridCol w:w="4320"/>
        <w:gridCol w:w="2160"/>
        <w:gridCol w:w="1584"/>
        <w:gridCol w:w="1584"/>
      </w:tblGrid>
      <w:tr w:rsidR="007B7EB3" w14:paraId="47A9F574" w14:textId="77777777" w:rsidTr="007B7E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C257566" w14:textId="77777777" w:rsidR="00605504" w:rsidRDefault="000E1A2B">
            <w:pPr>
              <w:spacing w:line="480" w:lineRule="auto"/>
              <w:jc w:val="center"/>
              <w:rPr>
                <w:sz w:val="18"/>
              </w:rPr>
            </w:pPr>
            <w:r>
              <w:rPr>
                <w:sz w:val="18"/>
              </w:rPr>
              <w:t>Covariate</w:t>
            </w:r>
          </w:p>
        </w:tc>
        <w:tc>
          <w:tcPr>
            <w:tcW w:w="2160" w:type="dxa"/>
          </w:tcPr>
          <w:p w14:paraId="7415B50D"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Before adjustment</w:t>
            </w:r>
          </w:p>
        </w:tc>
        <w:tc>
          <w:tcPr>
            <w:tcW w:w="1584" w:type="dxa"/>
          </w:tcPr>
          <w:p w14:paraId="7FCF9C3E"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After PSM</w:t>
            </w:r>
          </w:p>
        </w:tc>
        <w:tc>
          <w:tcPr>
            <w:tcW w:w="1584" w:type="dxa"/>
          </w:tcPr>
          <w:p w14:paraId="5AAA05B6"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After IPTW</w:t>
            </w:r>
          </w:p>
        </w:tc>
      </w:tr>
      <w:tr w:rsidR="007B7EB3" w14:paraId="7621A234"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E3A30EA" w14:textId="77777777" w:rsidR="00605504" w:rsidRDefault="000E1A2B">
            <w:pPr>
              <w:spacing w:line="480" w:lineRule="auto"/>
            </w:pPr>
            <w:r>
              <w:rPr>
                <w:sz w:val="18"/>
              </w:rPr>
              <w:t>Age at index date</w:t>
            </w:r>
          </w:p>
        </w:tc>
        <w:tc>
          <w:tcPr>
            <w:tcW w:w="2160" w:type="dxa"/>
          </w:tcPr>
          <w:p w14:paraId="79736FAC"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0.3838</w:t>
            </w:r>
          </w:p>
        </w:tc>
        <w:tc>
          <w:tcPr>
            <w:tcW w:w="1584" w:type="dxa"/>
          </w:tcPr>
          <w:p w14:paraId="5C90248D"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0.0253</w:t>
            </w:r>
          </w:p>
        </w:tc>
        <w:tc>
          <w:tcPr>
            <w:tcW w:w="1584" w:type="dxa"/>
          </w:tcPr>
          <w:p w14:paraId="20D713DC"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0.1001</w:t>
            </w:r>
          </w:p>
        </w:tc>
      </w:tr>
      <w:tr w:rsidR="007B7EB3" w14:paraId="78DCDAE5" w14:textId="77777777" w:rsidTr="007B7EB3">
        <w:tc>
          <w:tcPr>
            <w:cnfStyle w:val="001000000000" w:firstRow="0" w:lastRow="0" w:firstColumn="1" w:lastColumn="0" w:oddVBand="0" w:evenVBand="0" w:oddHBand="0" w:evenHBand="0" w:firstRowFirstColumn="0" w:firstRowLastColumn="0" w:lastRowFirstColumn="0" w:lastRowLastColumn="0"/>
            <w:tcW w:w="4320" w:type="dxa"/>
          </w:tcPr>
          <w:p w14:paraId="0358A971" w14:textId="77777777" w:rsidR="00605504" w:rsidRDefault="000E1A2B">
            <w:pPr>
              <w:spacing w:line="480" w:lineRule="auto"/>
            </w:pPr>
            <w:r>
              <w:rPr>
                <w:sz w:val="18"/>
              </w:rPr>
              <w:t>Sex</w:t>
            </w:r>
          </w:p>
        </w:tc>
        <w:tc>
          <w:tcPr>
            <w:tcW w:w="2160" w:type="dxa"/>
          </w:tcPr>
          <w:p w14:paraId="7B6913F6"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0.1040</w:t>
            </w:r>
          </w:p>
        </w:tc>
        <w:tc>
          <w:tcPr>
            <w:tcW w:w="1584" w:type="dxa"/>
          </w:tcPr>
          <w:p w14:paraId="092FC240"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0.0027</w:t>
            </w:r>
          </w:p>
        </w:tc>
        <w:tc>
          <w:tcPr>
            <w:tcW w:w="1584" w:type="dxa"/>
          </w:tcPr>
          <w:p w14:paraId="083BCAB9"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0.0252</w:t>
            </w:r>
          </w:p>
        </w:tc>
      </w:tr>
      <w:tr w:rsidR="007B7EB3" w14:paraId="6FEABAF7"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BC66C2A" w14:textId="77777777" w:rsidR="00605504" w:rsidRDefault="000E1A2B">
            <w:pPr>
              <w:spacing w:line="480" w:lineRule="auto"/>
            </w:pPr>
            <w:r>
              <w:rPr>
                <w:sz w:val="18"/>
              </w:rPr>
              <w:t>Residential area</w:t>
            </w:r>
          </w:p>
        </w:tc>
        <w:tc>
          <w:tcPr>
            <w:tcW w:w="2160" w:type="dxa"/>
          </w:tcPr>
          <w:p w14:paraId="16307388"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0.2479</w:t>
            </w:r>
          </w:p>
        </w:tc>
        <w:tc>
          <w:tcPr>
            <w:tcW w:w="1584" w:type="dxa"/>
          </w:tcPr>
          <w:p w14:paraId="5BCCEDF0"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0.0173</w:t>
            </w:r>
          </w:p>
        </w:tc>
        <w:tc>
          <w:tcPr>
            <w:tcW w:w="1584" w:type="dxa"/>
          </w:tcPr>
          <w:p w14:paraId="5FD0FF9B"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0.0448</w:t>
            </w:r>
          </w:p>
        </w:tc>
      </w:tr>
      <w:tr w:rsidR="007B7EB3" w14:paraId="69A70F9D" w14:textId="77777777" w:rsidTr="007B7EB3">
        <w:tc>
          <w:tcPr>
            <w:cnfStyle w:val="001000000000" w:firstRow="0" w:lastRow="0" w:firstColumn="1" w:lastColumn="0" w:oddVBand="0" w:evenVBand="0" w:oddHBand="0" w:evenHBand="0" w:firstRowFirstColumn="0" w:firstRowLastColumn="0" w:lastRowFirstColumn="0" w:lastRowLastColumn="0"/>
            <w:tcW w:w="4320" w:type="dxa"/>
          </w:tcPr>
          <w:p w14:paraId="1B1397E2" w14:textId="77777777" w:rsidR="00605504" w:rsidRDefault="000E1A2B">
            <w:pPr>
              <w:spacing w:line="480" w:lineRule="auto"/>
            </w:pPr>
            <w:r>
              <w:rPr>
                <w:sz w:val="18"/>
              </w:rPr>
              <w:t>Insurance eligibility type</w:t>
            </w:r>
          </w:p>
        </w:tc>
        <w:tc>
          <w:tcPr>
            <w:tcW w:w="2160" w:type="dxa"/>
          </w:tcPr>
          <w:p w14:paraId="59B68035"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0.0294</w:t>
            </w:r>
          </w:p>
        </w:tc>
        <w:tc>
          <w:tcPr>
            <w:tcW w:w="1584" w:type="dxa"/>
          </w:tcPr>
          <w:p w14:paraId="4961598E"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0.0098</w:t>
            </w:r>
          </w:p>
        </w:tc>
        <w:tc>
          <w:tcPr>
            <w:tcW w:w="1584" w:type="dxa"/>
          </w:tcPr>
          <w:p w14:paraId="36B5706E"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0.0036</w:t>
            </w:r>
          </w:p>
        </w:tc>
      </w:tr>
      <w:tr w:rsidR="007B7EB3" w14:paraId="5FE91CAF"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90EEA34" w14:textId="77777777" w:rsidR="00605504" w:rsidRDefault="000E1A2B">
            <w:pPr>
              <w:spacing w:line="480" w:lineRule="auto"/>
            </w:pPr>
            <w:r>
              <w:rPr>
                <w:sz w:val="18"/>
              </w:rPr>
              <w:t>Income level</w:t>
            </w:r>
          </w:p>
        </w:tc>
        <w:tc>
          <w:tcPr>
            <w:tcW w:w="2160" w:type="dxa"/>
          </w:tcPr>
          <w:p w14:paraId="5C3BA382"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0.1260</w:t>
            </w:r>
          </w:p>
        </w:tc>
        <w:tc>
          <w:tcPr>
            <w:tcW w:w="1584" w:type="dxa"/>
          </w:tcPr>
          <w:p w14:paraId="76FC8B2A"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0.0171</w:t>
            </w:r>
          </w:p>
        </w:tc>
        <w:tc>
          <w:tcPr>
            <w:tcW w:w="1584" w:type="dxa"/>
          </w:tcPr>
          <w:p w14:paraId="5173BB66"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0.0163</w:t>
            </w:r>
          </w:p>
        </w:tc>
      </w:tr>
      <w:tr w:rsidR="007B7EB3" w14:paraId="59715489" w14:textId="77777777" w:rsidTr="007B7EB3">
        <w:tc>
          <w:tcPr>
            <w:cnfStyle w:val="001000000000" w:firstRow="0" w:lastRow="0" w:firstColumn="1" w:lastColumn="0" w:oddVBand="0" w:evenVBand="0" w:oddHBand="0" w:evenHBand="0" w:firstRowFirstColumn="0" w:firstRowLastColumn="0" w:lastRowFirstColumn="0" w:lastRowLastColumn="0"/>
            <w:tcW w:w="4320" w:type="dxa"/>
          </w:tcPr>
          <w:p w14:paraId="0CFE3D3E" w14:textId="77777777" w:rsidR="00605504" w:rsidRDefault="000E1A2B">
            <w:pPr>
              <w:spacing w:line="480" w:lineRule="auto"/>
              <w:rPr>
                <w:sz w:val="18"/>
              </w:rPr>
            </w:pPr>
            <w:r>
              <w:rPr>
                <w:sz w:val="18"/>
              </w:rPr>
              <w:t>Number of geriatric disease groups</w:t>
            </w:r>
          </w:p>
        </w:tc>
        <w:tc>
          <w:tcPr>
            <w:tcW w:w="2160" w:type="dxa"/>
          </w:tcPr>
          <w:p w14:paraId="10803AEF"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0.0363</w:t>
            </w:r>
          </w:p>
        </w:tc>
        <w:tc>
          <w:tcPr>
            <w:tcW w:w="1584" w:type="dxa"/>
          </w:tcPr>
          <w:p w14:paraId="22619A46"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0.0691</w:t>
            </w:r>
          </w:p>
        </w:tc>
        <w:tc>
          <w:tcPr>
            <w:tcW w:w="1584" w:type="dxa"/>
          </w:tcPr>
          <w:p w14:paraId="156832CB"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0.0066</w:t>
            </w:r>
          </w:p>
        </w:tc>
      </w:tr>
      <w:tr w:rsidR="007B7EB3" w14:paraId="4F14F184"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BC4EDD9" w14:textId="77777777" w:rsidR="00605504" w:rsidRDefault="000E1A2B">
            <w:pPr>
              <w:spacing w:line="480" w:lineRule="auto"/>
              <w:rPr>
                <w:sz w:val="18"/>
              </w:rPr>
            </w:pPr>
            <w:r>
              <w:rPr>
                <w:sz w:val="18"/>
              </w:rPr>
              <w:t>Polypharmacy</w:t>
            </w:r>
          </w:p>
        </w:tc>
        <w:tc>
          <w:tcPr>
            <w:tcW w:w="2160" w:type="dxa"/>
          </w:tcPr>
          <w:p w14:paraId="7CE5951D"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0.0984</w:t>
            </w:r>
          </w:p>
        </w:tc>
        <w:tc>
          <w:tcPr>
            <w:tcW w:w="1584" w:type="dxa"/>
          </w:tcPr>
          <w:p w14:paraId="0E968056"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0.0538</w:t>
            </w:r>
          </w:p>
        </w:tc>
        <w:tc>
          <w:tcPr>
            <w:tcW w:w="1584" w:type="dxa"/>
          </w:tcPr>
          <w:p w14:paraId="3EC60E07"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0.0173</w:t>
            </w:r>
          </w:p>
        </w:tc>
      </w:tr>
      <w:tr w:rsidR="007B7EB3" w14:paraId="67D1AE4C" w14:textId="77777777" w:rsidTr="007B7EB3">
        <w:tc>
          <w:tcPr>
            <w:cnfStyle w:val="001000000000" w:firstRow="0" w:lastRow="0" w:firstColumn="1" w:lastColumn="0" w:oddVBand="0" w:evenVBand="0" w:oddHBand="0" w:evenHBand="0" w:firstRowFirstColumn="0" w:firstRowLastColumn="0" w:lastRowFirstColumn="0" w:lastRowLastColumn="0"/>
            <w:tcW w:w="4320" w:type="dxa"/>
          </w:tcPr>
          <w:p w14:paraId="71824006" w14:textId="77777777" w:rsidR="00605504" w:rsidRDefault="000E1A2B">
            <w:pPr>
              <w:spacing w:line="480" w:lineRule="auto"/>
              <w:rPr>
                <w:sz w:val="18"/>
              </w:rPr>
            </w:pPr>
            <w:r>
              <w:rPr>
                <w:sz w:val="18"/>
              </w:rPr>
              <w:t>Body mass index category</w:t>
            </w:r>
          </w:p>
        </w:tc>
        <w:tc>
          <w:tcPr>
            <w:tcW w:w="2160" w:type="dxa"/>
          </w:tcPr>
          <w:p w14:paraId="2CDF15AD"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0.0802</w:t>
            </w:r>
          </w:p>
        </w:tc>
        <w:tc>
          <w:tcPr>
            <w:tcW w:w="1584" w:type="dxa"/>
          </w:tcPr>
          <w:p w14:paraId="054F4C1E"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0.0282</w:t>
            </w:r>
          </w:p>
        </w:tc>
        <w:tc>
          <w:tcPr>
            <w:tcW w:w="1584" w:type="dxa"/>
          </w:tcPr>
          <w:p w14:paraId="4E27CC33"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0.0375</w:t>
            </w:r>
          </w:p>
        </w:tc>
      </w:tr>
      <w:tr w:rsidR="007B7EB3" w14:paraId="5A30D508"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218776B" w14:textId="77777777" w:rsidR="00605504" w:rsidRDefault="000E1A2B">
            <w:pPr>
              <w:spacing w:line="480" w:lineRule="auto"/>
              <w:rPr>
                <w:sz w:val="18"/>
              </w:rPr>
            </w:pPr>
            <w:r>
              <w:rPr>
                <w:sz w:val="18"/>
              </w:rPr>
              <w:t>Smoking status</w:t>
            </w:r>
          </w:p>
        </w:tc>
        <w:tc>
          <w:tcPr>
            <w:tcW w:w="2160" w:type="dxa"/>
          </w:tcPr>
          <w:p w14:paraId="2FAA2D99"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0.1658</w:t>
            </w:r>
          </w:p>
        </w:tc>
        <w:tc>
          <w:tcPr>
            <w:tcW w:w="1584" w:type="dxa"/>
          </w:tcPr>
          <w:p w14:paraId="2EA40573"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0.0068</w:t>
            </w:r>
          </w:p>
        </w:tc>
        <w:tc>
          <w:tcPr>
            <w:tcW w:w="1584" w:type="dxa"/>
          </w:tcPr>
          <w:p w14:paraId="6571CF76"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0.0283</w:t>
            </w:r>
          </w:p>
        </w:tc>
      </w:tr>
      <w:tr w:rsidR="007B7EB3" w14:paraId="475CFDF3" w14:textId="77777777" w:rsidTr="007B7EB3">
        <w:tc>
          <w:tcPr>
            <w:cnfStyle w:val="001000000000" w:firstRow="0" w:lastRow="0" w:firstColumn="1" w:lastColumn="0" w:oddVBand="0" w:evenVBand="0" w:oddHBand="0" w:evenHBand="0" w:firstRowFirstColumn="0" w:firstRowLastColumn="0" w:lastRowFirstColumn="0" w:lastRowLastColumn="0"/>
            <w:tcW w:w="4320" w:type="dxa"/>
          </w:tcPr>
          <w:p w14:paraId="1E6974B7" w14:textId="77777777" w:rsidR="00605504" w:rsidRDefault="000E1A2B">
            <w:pPr>
              <w:spacing w:line="480" w:lineRule="auto"/>
              <w:rPr>
                <w:sz w:val="18"/>
              </w:rPr>
            </w:pPr>
            <w:r>
              <w:rPr>
                <w:sz w:val="18"/>
              </w:rPr>
              <w:t>Alcohol consumption</w:t>
            </w:r>
          </w:p>
        </w:tc>
        <w:tc>
          <w:tcPr>
            <w:tcW w:w="2160" w:type="dxa"/>
          </w:tcPr>
          <w:p w14:paraId="4EAF5E08"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0.1223</w:t>
            </w:r>
          </w:p>
        </w:tc>
        <w:tc>
          <w:tcPr>
            <w:tcW w:w="1584" w:type="dxa"/>
          </w:tcPr>
          <w:p w14:paraId="38B732AC"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0.0152</w:t>
            </w:r>
          </w:p>
        </w:tc>
        <w:tc>
          <w:tcPr>
            <w:tcW w:w="1584" w:type="dxa"/>
          </w:tcPr>
          <w:p w14:paraId="671FBB30"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0.0165</w:t>
            </w:r>
          </w:p>
        </w:tc>
      </w:tr>
    </w:tbl>
    <w:p w14:paraId="55872120" w14:textId="3C7231E3" w:rsidR="00605504" w:rsidRDefault="000E1A2B">
      <w:pPr>
        <w:spacing w:before="80" w:after="160" w:line="480" w:lineRule="auto"/>
        <w:rPr>
          <w:sz w:val="18"/>
        </w:rPr>
      </w:pPr>
      <w:r>
        <w:rPr>
          <w:sz w:val="18"/>
        </w:rPr>
        <w:t xml:space="preserve">Absolute standardized mean differences were calculated before propensity score adjustment, after 1:1 propensity score </w:t>
      </w:r>
      <w:r>
        <w:rPr>
          <w:sz w:val="18"/>
        </w:rPr>
        <w:t xml:space="preserve">matching, and after inverse probability of treatment weighting. For categorical variables with more than two levels, the maximum absolute standardized mean difference across category-specific indicators is shown. An absolute standardized mean difference </w:t>
      </w:r>
      <w:r w:rsidR="00622046">
        <w:rPr>
          <w:sz w:val="18"/>
        </w:rPr>
        <w:t>&lt;</w:t>
      </w:r>
      <w:r>
        <w:rPr>
          <w:sz w:val="18"/>
        </w:rPr>
        <w:t>0.10 indicat</w:t>
      </w:r>
      <w:r w:rsidR="00622046">
        <w:rPr>
          <w:sz w:val="18"/>
        </w:rPr>
        <w:t>ed</w:t>
      </w:r>
      <w:r>
        <w:rPr>
          <w:sz w:val="18"/>
        </w:rPr>
        <w:t xml:space="preserve"> adequate covariate balance. IPTW, inverse probability of treatment weighting; PSM, propensity score matching; SMD, standardized mean difference.</w:t>
      </w:r>
    </w:p>
    <w:p w14:paraId="3C0EBE43" w14:textId="77777777" w:rsidR="00605504" w:rsidRDefault="000E1A2B">
      <w:pPr>
        <w:spacing w:before="160" w:after="80" w:line="480" w:lineRule="auto"/>
        <w:rPr>
          <w:b/>
        </w:rPr>
      </w:pPr>
      <w:r>
        <w:rPr>
          <w:b/>
        </w:rPr>
        <w:t>Table S2. IPTW weight distribution</w:t>
      </w:r>
    </w:p>
    <w:tbl>
      <w:tblPr>
        <w:tblStyle w:val="28"/>
        <w:tblW w:w="0" w:type="auto"/>
        <w:tblLook w:val="04A0" w:firstRow="1" w:lastRow="0" w:firstColumn="1" w:lastColumn="0" w:noHBand="0" w:noVBand="1"/>
      </w:tblPr>
      <w:tblGrid>
        <w:gridCol w:w="3744"/>
        <w:gridCol w:w="3024"/>
        <w:gridCol w:w="3024"/>
      </w:tblGrid>
      <w:tr w:rsidR="007B7EB3" w14:paraId="591CF0BF" w14:textId="77777777" w:rsidTr="007B7E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1CA5F0ED" w14:textId="77777777" w:rsidR="00605504" w:rsidRDefault="000E1A2B">
            <w:pPr>
              <w:spacing w:line="480" w:lineRule="auto"/>
              <w:jc w:val="center"/>
              <w:rPr>
                <w:sz w:val="18"/>
              </w:rPr>
            </w:pPr>
            <w:r>
              <w:rPr>
                <w:sz w:val="18"/>
              </w:rPr>
              <w:t>Statistic</w:t>
            </w:r>
          </w:p>
        </w:tc>
        <w:tc>
          <w:tcPr>
            <w:tcW w:w="3024" w:type="dxa"/>
          </w:tcPr>
          <w:p w14:paraId="25186CBF"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Original stabilized IPTW</w:t>
            </w:r>
          </w:p>
        </w:tc>
        <w:tc>
          <w:tcPr>
            <w:tcW w:w="3024" w:type="dxa"/>
          </w:tcPr>
          <w:p w14:paraId="35109B27"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Truncated stabilized IPTW</w:t>
            </w:r>
          </w:p>
        </w:tc>
      </w:tr>
      <w:tr w:rsidR="007B7EB3" w14:paraId="3F536042"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464CB776" w14:textId="77777777" w:rsidR="00605504" w:rsidRDefault="000E1A2B">
            <w:pPr>
              <w:spacing w:line="480" w:lineRule="auto"/>
              <w:ind w:left="216"/>
              <w:rPr>
                <w:sz w:val="18"/>
              </w:rPr>
            </w:pPr>
            <w:r>
              <w:rPr>
                <w:sz w:val="18"/>
              </w:rPr>
              <w:lastRenderedPageBreak/>
              <w:t>N</w:t>
            </w:r>
          </w:p>
        </w:tc>
        <w:tc>
          <w:tcPr>
            <w:tcW w:w="3024" w:type="dxa"/>
          </w:tcPr>
          <w:p w14:paraId="08270F2D"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99218</w:t>
            </w:r>
          </w:p>
        </w:tc>
        <w:tc>
          <w:tcPr>
            <w:tcW w:w="3024" w:type="dxa"/>
          </w:tcPr>
          <w:p w14:paraId="5D7DD4A3"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99218</w:t>
            </w:r>
          </w:p>
        </w:tc>
      </w:tr>
      <w:tr w:rsidR="007B7EB3" w14:paraId="63154C8D" w14:textId="77777777" w:rsidTr="007B7EB3">
        <w:tc>
          <w:tcPr>
            <w:cnfStyle w:val="001000000000" w:firstRow="0" w:lastRow="0" w:firstColumn="1" w:lastColumn="0" w:oddVBand="0" w:evenVBand="0" w:oddHBand="0" w:evenHBand="0" w:firstRowFirstColumn="0" w:firstRowLastColumn="0" w:lastRowFirstColumn="0" w:lastRowLastColumn="0"/>
            <w:tcW w:w="3744" w:type="dxa"/>
          </w:tcPr>
          <w:p w14:paraId="7CA0A528" w14:textId="77777777" w:rsidR="00605504" w:rsidRDefault="000E1A2B">
            <w:pPr>
              <w:spacing w:line="480" w:lineRule="auto"/>
              <w:ind w:left="216"/>
              <w:rPr>
                <w:sz w:val="18"/>
              </w:rPr>
            </w:pPr>
            <w:r>
              <w:rPr>
                <w:sz w:val="18"/>
              </w:rPr>
              <w:t>Mean</w:t>
            </w:r>
          </w:p>
        </w:tc>
        <w:tc>
          <w:tcPr>
            <w:tcW w:w="3024" w:type="dxa"/>
          </w:tcPr>
          <w:p w14:paraId="39ECDFED"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0.999</w:t>
            </w:r>
          </w:p>
        </w:tc>
        <w:tc>
          <w:tcPr>
            <w:tcW w:w="3024" w:type="dxa"/>
          </w:tcPr>
          <w:p w14:paraId="4F574C42"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0.994</w:t>
            </w:r>
          </w:p>
        </w:tc>
      </w:tr>
      <w:tr w:rsidR="007B7EB3" w14:paraId="4150D104"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4326AF7D" w14:textId="77777777" w:rsidR="00605504" w:rsidRDefault="000E1A2B">
            <w:pPr>
              <w:spacing w:line="480" w:lineRule="auto"/>
              <w:ind w:left="216"/>
              <w:rPr>
                <w:sz w:val="18"/>
              </w:rPr>
            </w:pPr>
            <w:r>
              <w:rPr>
                <w:sz w:val="18"/>
              </w:rPr>
              <w:t>Standard deviation</w:t>
            </w:r>
          </w:p>
        </w:tc>
        <w:tc>
          <w:tcPr>
            <w:tcW w:w="3024" w:type="dxa"/>
          </w:tcPr>
          <w:p w14:paraId="3E272853"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0.205</w:t>
            </w:r>
          </w:p>
        </w:tc>
        <w:tc>
          <w:tcPr>
            <w:tcW w:w="3024" w:type="dxa"/>
          </w:tcPr>
          <w:p w14:paraId="7F42D0CA"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0.162</w:t>
            </w:r>
          </w:p>
        </w:tc>
      </w:tr>
      <w:tr w:rsidR="007B7EB3" w14:paraId="7947570D" w14:textId="77777777" w:rsidTr="007B7EB3">
        <w:tc>
          <w:tcPr>
            <w:cnfStyle w:val="001000000000" w:firstRow="0" w:lastRow="0" w:firstColumn="1" w:lastColumn="0" w:oddVBand="0" w:evenVBand="0" w:oddHBand="0" w:evenHBand="0" w:firstRowFirstColumn="0" w:firstRowLastColumn="0" w:lastRowFirstColumn="0" w:lastRowLastColumn="0"/>
            <w:tcW w:w="3744" w:type="dxa"/>
          </w:tcPr>
          <w:p w14:paraId="546F5534" w14:textId="77777777" w:rsidR="00605504" w:rsidRDefault="000E1A2B">
            <w:pPr>
              <w:spacing w:line="480" w:lineRule="auto"/>
              <w:ind w:left="216"/>
              <w:rPr>
                <w:sz w:val="18"/>
              </w:rPr>
            </w:pPr>
            <w:r>
              <w:rPr>
                <w:sz w:val="18"/>
              </w:rPr>
              <w:t>Median</w:t>
            </w:r>
          </w:p>
        </w:tc>
        <w:tc>
          <w:tcPr>
            <w:tcW w:w="3024" w:type="dxa"/>
          </w:tcPr>
          <w:p w14:paraId="4E24820F"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0.980</w:t>
            </w:r>
          </w:p>
        </w:tc>
        <w:tc>
          <w:tcPr>
            <w:tcW w:w="3024" w:type="dxa"/>
          </w:tcPr>
          <w:p w14:paraId="699E4EF1"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0.980</w:t>
            </w:r>
          </w:p>
        </w:tc>
      </w:tr>
      <w:tr w:rsidR="007B7EB3" w14:paraId="5780A9FA"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40E39651" w14:textId="77777777" w:rsidR="00605504" w:rsidRDefault="000E1A2B">
            <w:pPr>
              <w:spacing w:line="480" w:lineRule="auto"/>
              <w:ind w:left="216"/>
              <w:rPr>
                <w:sz w:val="18"/>
              </w:rPr>
            </w:pPr>
            <w:r>
              <w:rPr>
                <w:sz w:val="18"/>
              </w:rPr>
              <w:t>Interquartile range</w:t>
            </w:r>
          </w:p>
        </w:tc>
        <w:tc>
          <w:tcPr>
            <w:tcW w:w="3024" w:type="dxa"/>
          </w:tcPr>
          <w:p w14:paraId="760A805B"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0.117</w:t>
            </w:r>
          </w:p>
        </w:tc>
        <w:tc>
          <w:tcPr>
            <w:tcW w:w="3024" w:type="dxa"/>
          </w:tcPr>
          <w:p w14:paraId="0BEB2896"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0.117</w:t>
            </w:r>
          </w:p>
        </w:tc>
      </w:tr>
      <w:tr w:rsidR="007B7EB3" w14:paraId="301BEB00" w14:textId="77777777" w:rsidTr="007B7EB3">
        <w:tc>
          <w:tcPr>
            <w:cnfStyle w:val="001000000000" w:firstRow="0" w:lastRow="0" w:firstColumn="1" w:lastColumn="0" w:oddVBand="0" w:evenVBand="0" w:oddHBand="0" w:evenHBand="0" w:firstRowFirstColumn="0" w:firstRowLastColumn="0" w:lastRowFirstColumn="0" w:lastRowLastColumn="0"/>
            <w:tcW w:w="3744" w:type="dxa"/>
          </w:tcPr>
          <w:p w14:paraId="7E05D174" w14:textId="77777777" w:rsidR="00605504" w:rsidRDefault="000E1A2B">
            <w:pPr>
              <w:spacing w:line="480" w:lineRule="auto"/>
              <w:ind w:left="216"/>
              <w:rPr>
                <w:sz w:val="18"/>
              </w:rPr>
            </w:pPr>
            <w:r>
              <w:rPr>
                <w:sz w:val="18"/>
              </w:rPr>
              <w:t>25th percentile</w:t>
            </w:r>
          </w:p>
        </w:tc>
        <w:tc>
          <w:tcPr>
            <w:tcW w:w="3024" w:type="dxa"/>
          </w:tcPr>
          <w:p w14:paraId="40415616"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0.930</w:t>
            </w:r>
          </w:p>
        </w:tc>
        <w:tc>
          <w:tcPr>
            <w:tcW w:w="3024" w:type="dxa"/>
          </w:tcPr>
          <w:p w14:paraId="25906914"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0.930</w:t>
            </w:r>
          </w:p>
        </w:tc>
      </w:tr>
      <w:tr w:rsidR="007B7EB3" w14:paraId="691518A5"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3A132476" w14:textId="77777777" w:rsidR="00605504" w:rsidRDefault="000E1A2B">
            <w:pPr>
              <w:spacing w:line="480" w:lineRule="auto"/>
              <w:ind w:left="216"/>
              <w:rPr>
                <w:sz w:val="18"/>
              </w:rPr>
            </w:pPr>
            <w:r>
              <w:rPr>
                <w:sz w:val="18"/>
              </w:rPr>
              <w:t>75th percentile</w:t>
            </w:r>
          </w:p>
        </w:tc>
        <w:tc>
          <w:tcPr>
            <w:tcW w:w="3024" w:type="dxa"/>
          </w:tcPr>
          <w:p w14:paraId="0B6A84F5"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1.047</w:t>
            </w:r>
          </w:p>
        </w:tc>
        <w:tc>
          <w:tcPr>
            <w:tcW w:w="3024" w:type="dxa"/>
          </w:tcPr>
          <w:p w14:paraId="107B666D"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1.047</w:t>
            </w:r>
          </w:p>
        </w:tc>
      </w:tr>
      <w:tr w:rsidR="007B7EB3" w14:paraId="25E674F6" w14:textId="77777777" w:rsidTr="007B7EB3">
        <w:tc>
          <w:tcPr>
            <w:cnfStyle w:val="001000000000" w:firstRow="0" w:lastRow="0" w:firstColumn="1" w:lastColumn="0" w:oddVBand="0" w:evenVBand="0" w:oddHBand="0" w:evenHBand="0" w:firstRowFirstColumn="0" w:firstRowLastColumn="0" w:lastRowFirstColumn="0" w:lastRowLastColumn="0"/>
            <w:tcW w:w="3744" w:type="dxa"/>
          </w:tcPr>
          <w:p w14:paraId="695F62DB" w14:textId="77777777" w:rsidR="00605504" w:rsidRDefault="000E1A2B">
            <w:pPr>
              <w:spacing w:line="480" w:lineRule="auto"/>
              <w:ind w:left="216"/>
              <w:rPr>
                <w:sz w:val="18"/>
              </w:rPr>
            </w:pPr>
            <w:r>
              <w:rPr>
                <w:sz w:val="18"/>
              </w:rPr>
              <w:t>1st percentile</w:t>
            </w:r>
          </w:p>
        </w:tc>
        <w:tc>
          <w:tcPr>
            <w:tcW w:w="3024" w:type="dxa"/>
          </w:tcPr>
          <w:p w14:paraId="0B606180"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0.503</w:t>
            </w:r>
          </w:p>
        </w:tc>
        <w:tc>
          <w:tcPr>
            <w:tcW w:w="3024" w:type="dxa"/>
          </w:tcPr>
          <w:p w14:paraId="0B891B3C"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0.503</w:t>
            </w:r>
          </w:p>
        </w:tc>
      </w:tr>
      <w:tr w:rsidR="007B7EB3" w14:paraId="22002921"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1521C2A2" w14:textId="77777777" w:rsidR="00605504" w:rsidRDefault="000E1A2B">
            <w:pPr>
              <w:spacing w:line="480" w:lineRule="auto"/>
              <w:ind w:left="216"/>
              <w:rPr>
                <w:sz w:val="18"/>
              </w:rPr>
            </w:pPr>
            <w:r>
              <w:rPr>
                <w:sz w:val="18"/>
              </w:rPr>
              <w:t>5th percentile</w:t>
            </w:r>
          </w:p>
        </w:tc>
        <w:tc>
          <w:tcPr>
            <w:tcW w:w="3024" w:type="dxa"/>
          </w:tcPr>
          <w:p w14:paraId="4B347C58"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0.735</w:t>
            </w:r>
          </w:p>
        </w:tc>
        <w:tc>
          <w:tcPr>
            <w:tcW w:w="3024" w:type="dxa"/>
          </w:tcPr>
          <w:p w14:paraId="37931E5A"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0.735</w:t>
            </w:r>
          </w:p>
        </w:tc>
      </w:tr>
      <w:tr w:rsidR="007B7EB3" w14:paraId="73CCB4CA" w14:textId="77777777" w:rsidTr="007B7EB3">
        <w:tc>
          <w:tcPr>
            <w:cnfStyle w:val="001000000000" w:firstRow="0" w:lastRow="0" w:firstColumn="1" w:lastColumn="0" w:oddVBand="0" w:evenVBand="0" w:oddHBand="0" w:evenHBand="0" w:firstRowFirstColumn="0" w:firstRowLastColumn="0" w:lastRowFirstColumn="0" w:lastRowLastColumn="0"/>
            <w:tcW w:w="3744" w:type="dxa"/>
          </w:tcPr>
          <w:p w14:paraId="7B36A6EF" w14:textId="77777777" w:rsidR="00605504" w:rsidRDefault="000E1A2B">
            <w:pPr>
              <w:spacing w:line="480" w:lineRule="auto"/>
              <w:ind w:left="216"/>
              <w:rPr>
                <w:sz w:val="18"/>
              </w:rPr>
            </w:pPr>
            <w:r>
              <w:rPr>
                <w:sz w:val="18"/>
              </w:rPr>
              <w:t>95th percentile</w:t>
            </w:r>
          </w:p>
        </w:tc>
        <w:tc>
          <w:tcPr>
            <w:tcW w:w="3024" w:type="dxa"/>
          </w:tcPr>
          <w:p w14:paraId="7AAF17C1"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1.221</w:t>
            </w:r>
          </w:p>
        </w:tc>
        <w:tc>
          <w:tcPr>
            <w:tcW w:w="3024" w:type="dxa"/>
          </w:tcPr>
          <w:p w14:paraId="2A2F4DE9"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1.221</w:t>
            </w:r>
          </w:p>
        </w:tc>
      </w:tr>
      <w:tr w:rsidR="007B7EB3" w14:paraId="73E321E8"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0F409EB9" w14:textId="77777777" w:rsidR="00605504" w:rsidRDefault="000E1A2B">
            <w:pPr>
              <w:spacing w:line="480" w:lineRule="auto"/>
              <w:ind w:left="216"/>
              <w:rPr>
                <w:sz w:val="18"/>
              </w:rPr>
            </w:pPr>
            <w:r>
              <w:rPr>
                <w:sz w:val="18"/>
              </w:rPr>
              <w:t>99th percentile</w:t>
            </w:r>
          </w:p>
        </w:tc>
        <w:tc>
          <w:tcPr>
            <w:tcW w:w="3024" w:type="dxa"/>
          </w:tcPr>
          <w:p w14:paraId="3D15E411"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1.771</w:t>
            </w:r>
          </w:p>
        </w:tc>
        <w:tc>
          <w:tcPr>
            <w:tcW w:w="3024" w:type="dxa"/>
          </w:tcPr>
          <w:p w14:paraId="0BDB373F"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1.771</w:t>
            </w:r>
          </w:p>
        </w:tc>
      </w:tr>
      <w:tr w:rsidR="007B7EB3" w14:paraId="51DECF0A" w14:textId="77777777" w:rsidTr="007B7EB3">
        <w:tc>
          <w:tcPr>
            <w:cnfStyle w:val="001000000000" w:firstRow="0" w:lastRow="0" w:firstColumn="1" w:lastColumn="0" w:oddVBand="0" w:evenVBand="0" w:oddHBand="0" w:evenHBand="0" w:firstRowFirstColumn="0" w:firstRowLastColumn="0" w:lastRowFirstColumn="0" w:lastRowLastColumn="0"/>
            <w:tcW w:w="3744" w:type="dxa"/>
          </w:tcPr>
          <w:p w14:paraId="6B98C00F" w14:textId="77777777" w:rsidR="00605504" w:rsidRDefault="000E1A2B">
            <w:pPr>
              <w:spacing w:line="480" w:lineRule="auto"/>
              <w:ind w:left="216"/>
              <w:rPr>
                <w:sz w:val="18"/>
              </w:rPr>
            </w:pPr>
            <w:r>
              <w:rPr>
                <w:sz w:val="18"/>
              </w:rPr>
              <w:t>Minimum</w:t>
            </w:r>
          </w:p>
        </w:tc>
        <w:tc>
          <w:tcPr>
            <w:tcW w:w="3024" w:type="dxa"/>
          </w:tcPr>
          <w:p w14:paraId="5E0CE62D"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0.320</w:t>
            </w:r>
          </w:p>
        </w:tc>
        <w:tc>
          <w:tcPr>
            <w:tcW w:w="3024" w:type="dxa"/>
          </w:tcPr>
          <w:p w14:paraId="2FE72763"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0.503</w:t>
            </w:r>
          </w:p>
        </w:tc>
      </w:tr>
      <w:tr w:rsidR="007B7EB3" w14:paraId="2169BDF3"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6BB996CF" w14:textId="77777777" w:rsidR="00605504" w:rsidRDefault="000E1A2B">
            <w:pPr>
              <w:spacing w:line="480" w:lineRule="auto"/>
              <w:ind w:left="216"/>
              <w:rPr>
                <w:sz w:val="18"/>
              </w:rPr>
            </w:pPr>
            <w:r>
              <w:rPr>
                <w:sz w:val="18"/>
              </w:rPr>
              <w:t>Maximum</w:t>
            </w:r>
          </w:p>
        </w:tc>
        <w:tc>
          <w:tcPr>
            <w:tcW w:w="3024" w:type="dxa"/>
          </w:tcPr>
          <w:p w14:paraId="49DB7DC8"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8.099</w:t>
            </w:r>
          </w:p>
        </w:tc>
        <w:tc>
          <w:tcPr>
            <w:tcW w:w="3024" w:type="dxa"/>
          </w:tcPr>
          <w:p w14:paraId="047541CB"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1.771</w:t>
            </w:r>
          </w:p>
        </w:tc>
      </w:tr>
      <w:tr w:rsidR="007B7EB3" w14:paraId="067541B9" w14:textId="77777777" w:rsidTr="007B7EB3">
        <w:tc>
          <w:tcPr>
            <w:cnfStyle w:val="001000000000" w:firstRow="0" w:lastRow="0" w:firstColumn="1" w:lastColumn="0" w:oddVBand="0" w:evenVBand="0" w:oddHBand="0" w:evenHBand="0" w:firstRowFirstColumn="0" w:firstRowLastColumn="0" w:lastRowFirstColumn="0" w:lastRowLastColumn="0"/>
            <w:tcW w:w="3744" w:type="dxa"/>
          </w:tcPr>
          <w:p w14:paraId="70A8C567" w14:textId="77777777" w:rsidR="00605504" w:rsidRDefault="000E1A2B">
            <w:pPr>
              <w:spacing w:line="480" w:lineRule="auto"/>
              <w:ind w:left="216"/>
              <w:rPr>
                <w:sz w:val="18"/>
              </w:rPr>
            </w:pPr>
            <w:r>
              <w:rPr>
                <w:sz w:val="18"/>
              </w:rPr>
              <w:t>Skewness</w:t>
            </w:r>
          </w:p>
        </w:tc>
        <w:tc>
          <w:tcPr>
            <w:tcW w:w="3024" w:type="dxa"/>
          </w:tcPr>
          <w:p w14:paraId="15A9EE1E"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5.117</w:t>
            </w:r>
          </w:p>
        </w:tc>
        <w:tc>
          <w:tcPr>
            <w:tcW w:w="3024" w:type="dxa"/>
          </w:tcPr>
          <w:p w14:paraId="3320A561"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1.057</w:t>
            </w:r>
          </w:p>
        </w:tc>
      </w:tr>
      <w:tr w:rsidR="007B7EB3" w14:paraId="2F83E1A0"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5B67149F" w14:textId="77777777" w:rsidR="00605504" w:rsidRDefault="000E1A2B">
            <w:pPr>
              <w:spacing w:line="480" w:lineRule="auto"/>
              <w:ind w:left="216"/>
              <w:rPr>
                <w:sz w:val="18"/>
              </w:rPr>
            </w:pPr>
            <w:r>
              <w:rPr>
                <w:sz w:val="18"/>
              </w:rPr>
              <w:t>Kurtosis</w:t>
            </w:r>
          </w:p>
        </w:tc>
        <w:tc>
          <w:tcPr>
            <w:tcW w:w="3024" w:type="dxa"/>
          </w:tcPr>
          <w:p w14:paraId="1C8EFD5E"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74.997</w:t>
            </w:r>
          </w:p>
        </w:tc>
        <w:tc>
          <w:tcPr>
            <w:tcW w:w="3024" w:type="dxa"/>
          </w:tcPr>
          <w:p w14:paraId="349ABE50"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6.986</w:t>
            </w:r>
          </w:p>
        </w:tc>
      </w:tr>
    </w:tbl>
    <w:p w14:paraId="71737371" w14:textId="6CEDD4E8" w:rsidR="00605504" w:rsidRDefault="000E1A2B">
      <w:pPr>
        <w:spacing w:before="80" w:after="160" w:line="480" w:lineRule="auto"/>
        <w:rPr>
          <w:sz w:val="18"/>
        </w:rPr>
      </w:pPr>
      <w:r>
        <w:rPr>
          <w:sz w:val="18"/>
        </w:rPr>
        <w:t xml:space="preserve">Weights are stabilized inverse probability of treatment weights </w:t>
      </w:r>
      <w:r w:rsidR="00622046">
        <w:rPr>
          <w:sz w:val="18"/>
        </w:rPr>
        <w:t xml:space="preserve">that were </w:t>
      </w:r>
      <w:r>
        <w:rPr>
          <w:sz w:val="18"/>
        </w:rPr>
        <w:t xml:space="preserve">estimated from the propensity score model. Truncation was performed at the 1st and 99th percentiles of the original stabilized weights. The original </w:t>
      </w:r>
      <w:r w:rsidR="00622046">
        <w:rPr>
          <w:sz w:val="18"/>
        </w:rPr>
        <w:t xml:space="preserve">and truncated </w:t>
      </w:r>
      <w:r>
        <w:rPr>
          <w:sz w:val="18"/>
        </w:rPr>
        <w:t>weights ranged from 0.320 to 8.099</w:t>
      </w:r>
      <w:r w:rsidR="00622046">
        <w:rPr>
          <w:sz w:val="18"/>
        </w:rPr>
        <w:t xml:space="preserve"> and</w:t>
      </w:r>
      <w:r>
        <w:rPr>
          <w:sz w:val="18"/>
        </w:rPr>
        <w:t xml:space="preserve"> 0.503 to 1.771</w:t>
      </w:r>
      <w:r w:rsidR="00622046">
        <w:rPr>
          <w:sz w:val="18"/>
        </w:rPr>
        <w:t>, respectively</w:t>
      </w:r>
      <w:r>
        <w:rPr>
          <w:sz w:val="18"/>
        </w:rPr>
        <w:t>. IPTW, inverse probability of treatment weighting.</w:t>
      </w:r>
    </w:p>
    <w:p w14:paraId="7520985B" w14:textId="77777777" w:rsidR="00605504" w:rsidRDefault="000E1A2B">
      <w:pPr>
        <w:spacing w:line="480" w:lineRule="auto"/>
        <w:rPr>
          <w:b/>
        </w:rPr>
      </w:pPr>
      <w:r>
        <w:rPr>
          <w:b/>
        </w:rPr>
        <w:t>Table S3. One-year lag sensitivity analysis for LTCI entry</w:t>
      </w:r>
    </w:p>
    <w:tbl>
      <w:tblPr>
        <w:tblStyle w:val="28"/>
        <w:tblW w:w="0" w:type="auto"/>
        <w:tblLook w:val="04A0" w:firstRow="1" w:lastRow="0" w:firstColumn="1" w:lastColumn="0" w:noHBand="0" w:noVBand="1"/>
      </w:tblPr>
      <w:tblGrid>
        <w:gridCol w:w="1851"/>
        <w:gridCol w:w="1851"/>
        <w:gridCol w:w="1851"/>
        <w:gridCol w:w="1851"/>
        <w:gridCol w:w="1851"/>
        <w:gridCol w:w="1851"/>
        <w:gridCol w:w="1851"/>
      </w:tblGrid>
      <w:tr w:rsidR="007B7EB3" w14:paraId="37AE1508" w14:textId="77777777" w:rsidTr="007B7E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tcPr>
          <w:p w14:paraId="7E81C0E2" w14:textId="77777777" w:rsidR="00605504" w:rsidRDefault="000E1A2B">
            <w:pPr>
              <w:spacing w:line="480" w:lineRule="auto"/>
              <w:rPr>
                <w:sz w:val="18"/>
              </w:rPr>
            </w:pPr>
            <w:r>
              <w:rPr>
                <w:sz w:val="18"/>
              </w:rPr>
              <w:t>Analysis</w:t>
            </w:r>
          </w:p>
        </w:tc>
        <w:tc>
          <w:tcPr>
            <w:tcW w:w="1851" w:type="dxa"/>
          </w:tcPr>
          <w:p w14:paraId="52D1989C" w14:textId="77777777" w:rsidR="00605504" w:rsidRDefault="000E1A2B">
            <w:pPr>
              <w:spacing w:line="480" w:lineRule="auto"/>
              <w:cnfStyle w:val="100000000000" w:firstRow="1" w:lastRow="0" w:firstColumn="0" w:lastColumn="0" w:oddVBand="0" w:evenVBand="0" w:oddHBand="0" w:evenHBand="0" w:firstRowFirstColumn="0" w:firstRowLastColumn="0" w:lastRowFirstColumn="0" w:lastRowLastColumn="0"/>
              <w:rPr>
                <w:sz w:val="18"/>
              </w:rPr>
            </w:pPr>
            <w:r>
              <w:rPr>
                <w:sz w:val="18"/>
              </w:rPr>
              <w:t>N</w:t>
            </w:r>
          </w:p>
        </w:tc>
        <w:tc>
          <w:tcPr>
            <w:tcW w:w="1851" w:type="dxa"/>
          </w:tcPr>
          <w:p w14:paraId="4DD871E9" w14:textId="77777777" w:rsidR="00605504" w:rsidRDefault="000E1A2B">
            <w:pPr>
              <w:spacing w:line="480" w:lineRule="auto"/>
              <w:cnfStyle w:val="100000000000" w:firstRow="1" w:lastRow="0" w:firstColumn="0" w:lastColumn="0" w:oddVBand="0" w:evenVBand="0" w:oddHBand="0" w:evenHBand="0" w:firstRowFirstColumn="0" w:firstRowLastColumn="0" w:lastRowFirstColumn="0" w:lastRowLastColumn="0"/>
              <w:rPr>
                <w:sz w:val="18"/>
              </w:rPr>
            </w:pPr>
            <w:r>
              <w:rPr>
                <w:sz w:val="18"/>
              </w:rPr>
              <w:t>sHR</w:t>
            </w:r>
          </w:p>
        </w:tc>
        <w:tc>
          <w:tcPr>
            <w:tcW w:w="1851" w:type="dxa"/>
          </w:tcPr>
          <w:p w14:paraId="0396DE4D" w14:textId="77777777" w:rsidR="00605504" w:rsidRDefault="000E1A2B">
            <w:pPr>
              <w:spacing w:line="480" w:lineRule="auto"/>
              <w:cnfStyle w:val="100000000000" w:firstRow="1" w:lastRow="0" w:firstColumn="0" w:lastColumn="0" w:oddVBand="0" w:evenVBand="0" w:oddHBand="0" w:evenHBand="0" w:firstRowFirstColumn="0" w:firstRowLastColumn="0" w:lastRowFirstColumn="0" w:lastRowLastColumn="0"/>
              <w:rPr>
                <w:sz w:val="18"/>
              </w:rPr>
            </w:pPr>
            <w:r>
              <w:rPr>
                <w:sz w:val="18"/>
              </w:rPr>
              <w:t>95% CI</w:t>
            </w:r>
          </w:p>
        </w:tc>
        <w:tc>
          <w:tcPr>
            <w:tcW w:w="1851" w:type="dxa"/>
          </w:tcPr>
          <w:p w14:paraId="4DDADD9A" w14:textId="3D318EF4" w:rsidR="00605504" w:rsidRDefault="00622046">
            <w:pPr>
              <w:spacing w:line="480" w:lineRule="auto"/>
              <w:cnfStyle w:val="100000000000" w:firstRow="1" w:lastRow="0" w:firstColumn="0" w:lastColumn="0" w:oddVBand="0" w:evenVBand="0" w:oddHBand="0" w:evenHBand="0" w:firstRowFirstColumn="0" w:firstRowLastColumn="0" w:lastRowFirstColumn="0" w:lastRowLastColumn="0"/>
              <w:rPr>
                <w:sz w:val="18"/>
              </w:rPr>
            </w:pPr>
            <w:r w:rsidRPr="00622046">
              <w:rPr>
                <w:i/>
                <w:iCs/>
                <w:sz w:val="18"/>
              </w:rPr>
              <w:t>P</w:t>
            </w:r>
            <w:r>
              <w:rPr>
                <w:sz w:val="18"/>
              </w:rPr>
              <w:t>-</w:t>
            </w:r>
            <w:r w:rsidR="000E1A2B">
              <w:rPr>
                <w:sz w:val="18"/>
              </w:rPr>
              <w:t>value</w:t>
            </w:r>
          </w:p>
        </w:tc>
        <w:tc>
          <w:tcPr>
            <w:tcW w:w="1851" w:type="dxa"/>
          </w:tcPr>
          <w:p w14:paraId="60744E89" w14:textId="77777777" w:rsidR="00605504" w:rsidRDefault="000E1A2B">
            <w:pPr>
              <w:spacing w:line="480" w:lineRule="auto"/>
              <w:cnfStyle w:val="100000000000" w:firstRow="1" w:lastRow="0" w:firstColumn="0" w:lastColumn="0" w:oddVBand="0" w:evenVBand="0" w:oddHBand="0" w:evenHBand="0" w:firstRowFirstColumn="0" w:firstRowLastColumn="0" w:lastRowFirstColumn="0" w:lastRowLastColumn="0"/>
              <w:rPr>
                <w:sz w:val="18"/>
              </w:rPr>
            </w:pPr>
            <w:r>
              <w:rPr>
                <w:sz w:val="18"/>
              </w:rPr>
              <w:t xml:space="preserve">E-value, point </w:t>
            </w:r>
            <w:r>
              <w:rPr>
                <w:sz w:val="18"/>
              </w:rPr>
              <w:lastRenderedPageBreak/>
              <w:t>estimate</w:t>
            </w:r>
          </w:p>
        </w:tc>
        <w:tc>
          <w:tcPr>
            <w:tcW w:w="1851" w:type="dxa"/>
          </w:tcPr>
          <w:p w14:paraId="68F5C5B1" w14:textId="77777777" w:rsidR="00605504" w:rsidRDefault="000E1A2B">
            <w:pPr>
              <w:spacing w:line="480" w:lineRule="auto"/>
              <w:cnfStyle w:val="100000000000" w:firstRow="1" w:lastRow="0" w:firstColumn="0" w:lastColumn="0" w:oddVBand="0" w:evenVBand="0" w:oddHBand="0" w:evenHBand="0" w:firstRowFirstColumn="0" w:firstRowLastColumn="0" w:lastRowFirstColumn="0" w:lastRowLastColumn="0"/>
              <w:rPr>
                <w:sz w:val="18"/>
              </w:rPr>
            </w:pPr>
            <w:r>
              <w:rPr>
                <w:sz w:val="18"/>
              </w:rPr>
              <w:lastRenderedPageBreak/>
              <w:t xml:space="preserve">E-value, CI limit </w:t>
            </w:r>
            <w:r>
              <w:rPr>
                <w:sz w:val="18"/>
              </w:rPr>
              <w:lastRenderedPageBreak/>
              <w:t>closest to null</w:t>
            </w:r>
          </w:p>
        </w:tc>
      </w:tr>
      <w:tr w:rsidR="007B7EB3" w14:paraId="0728ECCD"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tcPr>
          <w:p w14:paraId="2C69A5CE" w14:textId="1CB6309D" w:rsidR="00605504" w:rsidRDefault="000E1A2B">
            <w:pPr>
              <w:spacing w:line="480" w:lineRule="auto"/>
              <w:rPr>
                <w:sz w:val="18"/>
              </w:rPr>
            </w:pPr>
            <w:r>
              <w:rPr>
                <w:sz w:val="18"/>
              </w:rPr>
              <w:lastRenderedPageBreak/>
              <w:t>One-year lag fully adjusted Fine</w:t>
            </w:r>
            <w:r w:rsidR="00622046">
              <w:rPr>
                <w:sz w:val="18"/>
              </w:rPr>
              <w:t>–</w:t>
            </w:r>
            <w:r>
              <w:rPr>
                <w:sz w:val="18"/>
              </w:rPr>
              <w:t>Gray model</w:t>
            </w:r>
          </w:p>
        </w:tc>
        <w:tc>
          <w:tcPr>
            <w:tcW w:w="1851" w:type="dxa"/>
          </w:tcPr>
          <w:p w14:paraId="6C0A97C4" w14:textId="77777777" w:rsidR="00605504" w:rsidRDefault="000E1A2B">
            <w:pPr>
              <w:spacing w:line="480" w:lineRule="auto"/>
              <w:cnfStyle w:val="000000100000" w:firstRow="0" w:lastRow="0" w:firstColumn="0" w:lastColumn="0" w:oddVBand="0" w:evenVBand="0" w:oddHBand="1" w:evenHBand="0" w:firstRowFirstColumn="0" w:firstRowLastColumn="0" w:lastRowFirstColumn="0" w:lastRowLastColumn="0"/>
              <w:rPr>
                <w:sz w:val="18"/>
              </w:rPr>
            </w:pPr>
            <w:r>
              <w:rPr>
                <w:sz w:val="18"/>
              </w:rPr>
              <w:t>97472</w:t>
            </w:r>
          </w:p>
        </w:tc>
        <w:tc>
          <w:tcPr>
            <w:tcW w:w="1851" w:type="dxa"/>
          </w:tcPr>
          <w:p w14:paraId="6D6D226D" w14:textId="77777777" w:rsidR="00605504" w:rsidRDefault="000E1A2B">
            <w:pPr>
              <w:spacing w:line="480" w:lineRule="auto"/>
              <w:cnfStyle w:val="000000100000" w:firstRow="0" w:lastRow="0" w:firstColumn="0" w:lastColumn="0" w:oddVBand="0" w:evenVBand="0" w:oddHBand="1" w:evenHBand="0" w:firstRowFirstColumn="0" w:firstRowLastColumn="0" w:lastRowFirstColumn="0" w:lastRowLastColumn="0"/>
              <w:rPr>
                <w:sz w:val="18"/>
              </w:rPr>
            </w:pPr>
            <w:r>
              <w:rPr>
                <w:sz w:val="18"/>
              </w:rPr>
              <w:t>0.692</w:t>
            </w:r>
          </w:p>
        </w:tc>
        <w:tc>
          <w:tcPr>
            <w:tcW w:w="1851" w:type="dxa"/>
          </w:tcPr>
          <w:p w14:paraId="0ECEA2EA" w14:textId="08F4F44F" w:rsidR="00605504" w:rsidRDefault="000E1A2B">
            <w:pPr>
              <w:spacing w:line="480" w:lineRule="auto"/>
              <w:cnfStyle w:val="000000100000" w:firstRow="0" w:lastRow="0" w:firstColumn="0" w:lastColumn="0" w:oddVBand="0" w:evenVBand="0" w:oddHBand="1" w:evenHBand="0" w:firstRowFirstColumn="0" w:firstRowLastColumn="0" w:lastRowFirstColumn="0" w:lastRowLastColumn="0"/>
              <w:rPr>
                <w:sz w:val="18"/>
              </w:rPr>
            </w:pPr>
            <w:r>
              <w:rPr>
                <w:sz w:val="18"/>
              </w:rPr>
              <w:t>0.630</w:t>
            </w:r>
            <w:r w:rsidR="00622046">
              <w:rPr>
                <w:sz w:val="18"/>
              </w:rPr>
              <w:t>–</w:t>
            </w:r>
            <w:r>
              <w:rPr>
                <w:sz w:val="18"/>
              </w:rPr>
              <w:t>0.760</w:t>
            </w:r>
          </w:p>
        </w:tc>
        <w:tc>
          <w:tcPr>
            <w:tcW w:w="1851" w:type="dxa"/>
          </w:tcPr>
          <w:p w14:paraId="284CB377" w14:textId="77777777" w:rsidR="00605504" w:rsidRDefault="000E1A2B">
            <w:pPr>
              <w:spacing w:line="480" w:lineRule="auto"/>
              <w:cnfStyle w:val="000000100000" w:firstRow="0" w:lastRow="0" w:firstColumn="0" w:lastColumn="0" w:oddVBand="0" w:evenVBand="0" w:oddHBand="1" w:evenHBand="0" w:firstRowFirstColumn="0" w:firstRowLastColumn="0" w:lastRowFirstColumn="0" w:lastRowLastColumn="0"/>
              <w:rPr>
                <w:sz w:val="18"/>
              </w:rPr>
            </w:pPr>
            <w:r>
              <w:rPr>
                <w:sz w:val="18"/>
              </w:rPr>
              <w:t>&lt;0.001</w:t>
            </w:r>
          </w:p>
        </w:tc>
        <w:tc>
          <w:tcPr>
            <w:tcW w:w="1851" w:type="dxa"/>
          </w:tcPr>
          <w:p w14:paraId="218DA882" w14:textId="77777777" w:rsidR="00605504" w:rsidRDefault="000E1A2B">
            <w:pPr>
              <w:spacing w:line="480" w:lineRule="auto"/>
              <w:cnfStyle w:val="000000100000" w:firstRow="0" w:lastRow="0" w:firstColumn="0" w:lastColumn="0" w:oddVBand="0" w:evenVBand="0" w:oddHBand="1" w:evenHBand="0" w:firstRowFirstColumn="0" w:firstRowLastColumn="0" w:lastRowFirstColumn="0" w:lastRowLastColumn="0"/>
              <w:rPr>
                <w:sz w:val="18"/>
              </w:rPr>
            </w:pPr>
            <w:r>
              <w:rPr>
                <w:sz w:val="18"/>
              </w:rPr>
              <w:t>2.25</w:t>
            </w:r>
          </w:p>
        </w:tc>
        <w:tc>
          <w:tcPr>
            <w:tcW w:w="1851" w:type="dxa"/>
          </w:tcPr>
          <w:p w14:paraId="5286599E" w14:textId="77777777" w:rsidR="00605504" w:rsidRDefault="000E1A2B">
            <w:pPr>
              <w:spacing w:line="480" w:lineRule="auto"/>
              <w:cnfStyle w:val="000000100000" w:firstRow="0" w:lastRow="0" w:firstColumn="0" w:lastColumn="0" w:oddVBand="0" w:evenVBand="0" w:oddHBand="1" w:evenHBand="0" w:firstRowFirstColumn="0" w:firstRowLastColumn="0" w:lastRowFirstColumn="0" w:lastRowLastColumn="0"/>
              <w:rPr>
                <w:sz w:val="18"/>
              </w:rPr>
            </w:pPr>
            <w:r>
              <w:rPr>
                <w:sz w:val="18"/>
              </w:rPr>
              <w:t>1.96</w:t>
            </w:r>
          </w:p>
        </w:tc>
      </w:tr>
    </w:tbl>
    <w:p w14:paraId="48112540" w14:textId="17A3A15E" w:rsidR="00605504" w:rsidRDefault="000E1A2B">
      <w:pPr>
        <w:spacing w:line="480" w:lineRule="auto"/>
        <w:rPr>
          <w:sz w:val="18"/>
        </w:rPr>
      </w:pPr>
      <w:r>
        <w:rPr>
          <w:sz w:val="18"/>
        </w:rPr>
        <w:t xml:space="preserve">The 1-year lag cohort excluded participants who entered LTCI (n=679) or died before LTCI entry (n=1067) within the first year after the index date. Follow-up was re-started on January 1, 2016. The model was adjusted for age, sex, residential area, insurance eligibility type, income level, number of geriatric disease groups, polypharmacy, body mass index category, smoking status, and alcohol consumption. Death before LTCI entry </w:t>
      </w:r>
      <w:r>
        <w:rPr>
          <w:sz w:val="18"/>
        </w:rPr>
        <w:t xml:space="preserve">was treated as a competing event. CI, confidence interval; LTCI, long-term care insurance; </w:t>
      </w:r>
      <w:proofErr w:type="spellStart"/>
      <w:r>
        <w:rPr>
          <w:sz w:val="18"/>
        </w:rPr>
        <w:t>sHR</w:t>
      </w:r>
      <w:proofErr w:type="spellEnd"/>
      <w:r>
        <w:rPr>
          <w:sz w:val="18"/>
        </w:rPr>
        <w:t>, sub</w:t>
      </w:r>
      <w:r w:rsidR="00193E53">
        <w:rPr>
          <w:rFonts w:eastAsiaTheme="minorEastAsia" w:hint="eastAsia"/>
          <w:sz w:val="18"/>
          <w:lang w:eastAsia="ko-KR"/>
        </w:rPr>
        <w:t>-</w:t>
      </w:r>
      <w:r>
        <w:rPr>
          <w:sz w:val="18"/>
        </w:rPr>
        <w:t>distribution hazard ratio.</w:t>
      </w:r>
    </w:p>
    <w:p w14:paraId="54CEEB9B" w14:textId="6361C19C" w:rsidR="00605504" w:rsidRDefault="000E1A2B">
      <w:pPr>
        <w:spacing w:before="160" w:after="80" w:line="480" w:lineRule="auto"/>
        <w:rPr>
          <w:b/>
        </w:rPr>
      </w:pPr>
      <w:r>
        <w:rPr>
          <w:b/>
        </w:rPr>
        <w:t>Table S4. Fine</w:t>
      </w:r>
      <w:r w:rsidR="00622046">
        <w:rPr>
          <w:b/>
        </w:rPr>
        <w:t>–</w:t>
      </w:r>
      <w:r>
        <w:rPr>
          <w:b/>
        </w:rPr>
        <w:t>Gray proportionality assessment</w:t>
      </w:r>
    </w:p>
    <w:tbl>
      <w:tblPr>
        <w:tblStyle w:val="28"/>
        <w:tblW w:w="0" w:type="auto"/>
        <w:tblLook w:val="04A0" w:firstRow="1" w:lastRow="0" w:firstColumn="1" w:lastColumn="0" w:noHBand="0" w:noVBand="1"/>
      </w:tblPr>
      <w:tblGrid>
        <w:gridCol w:w="4031"/>
        <w:gridCol w:w="1296"/>
        <w:gridCol w:w="1152"/>
        <w:gridCol w:w="1440"/>
        <w:gridCol w:w="1152"/>
        <w:gridCol w:w="3888"/>
      </w:tblGrid>
      <w:tr w:rsidR="007B7EB3" w14:paraId="52C40688" w14:textId="77777777" w:rsidTr="007B7E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1" w:type="dxa"/>
          </w:tcPr>
          <w:p w14:paraId="21316D9B" w14:textId="77777777" w:rsidR="00605504" w:rsidRDefault="000E1A2B">
            <w:pPr>
              <w:spacing w:line="480" w:lineRule="auto"/>
              <w:jc w:val="center"/>
              <w:rPr>
                <w:sz w:val="18"/>
              </w:rPr>
            </w:pPr>
            <w:r>
              <w:rPr>
                <w:sz w:val="18"/>
              </w:rPr>
              <w:t>Assessment</w:t>
            </w:r>
          </w:p>
        </w:tc>
        <w:tc>
          <w:tcPr>
            <w:tcW w:w="1296" w:type="dxa"/>
          </w:tcPr>
          <w:p w14:paraId="0046940D"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Statistic</w:t>
            </w:r>
          </w:p>
        </w:tc>
        <w:tc>
          <w:tcPr>
            <w:tcW w:w="1152" w:type="dxa"/>
          </w:tcPr>
          <w:p w14:paraId="2EAA67CD"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Estimate</w:t>
            </w:r>
          </w:p>
        </w:tc>
        <w:tc>
          <w:tcPr>
            <w:tcW w:w="1440" w:type="dxa"/>
          </w:tcPr>
          <w:p w14:paraId="5A5CFC56"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95% CI</w:t>
            </w:r>
          </w:p>
        </w:tc>
        <w:tc>
          <w:tcPr>
            <w:tcW w:w="1152" w:type="dxa"/>
          </w:tcPr>
          <w:p w14:paraId="3C4967CD"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sidRPr="00622046">
              <w:rPr>
                <w:i/>
                <w:iCs/>
                <w:sz w:val="18"/>
              </w:rPr>
              <w:t>P</w:t>
            </w:r>
            <w:r>
              <w:rPr>
                <w:sz w:val="18"/>
              </w:rPr>
              <w:t xml:space="preserve"> value</w:t>
            </w:r>
          </w:p>
        </w:tc>
        <w:tc>
          <w:tcPr>
            <w:tcW w:w="3888" w:type="dxa"/>
          </w:tcPr>
          <w:p w14:paraId="67200746"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Interpretation</w:t>
            </w:r>
          </w:p>
        </w:tc>
      </w:tr>
      <w:tr w:rsidR="007B7EB3" w14:paraId="1E41409D"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1" w:type="dxa"/>
          </w:tcPr>
          <w:p w14:paraId="453B8425" w14:textId="77777777" w:rsidR="00605504" w:rsidRDefault="000E1A2B">
            <w:pPr>
              <w:spacing w:line="480" w:lineRule="auto"/>
              <w:ind w:left="216"/>
              <w:rPr>
                <w:sz w:val="18"/>
              </w:rPr>
            </w:pPr>
            <w:r>
              <w:rPr>
                <w:sz w:val="18"/>
              </w:rPr>
              <w:t>Scaling × log-time interaction</w:t>
            </w:r>
          </w:p>
        </w:tc>
        <w:tc>
          <w:tcPr>
            <w:tcW w:w="1296" w:type="dxa"/>
          </w:tcPr>
          <w:p w14:paraId="17495922"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exp(β)</w:t>
            </w:r>
          </w:p>
        </w:tc>
        <w:tc>
          <w:tcPr>
            <w:tcW w:w="1152" w:type="dxa"/>
          </w:tcPr>
          <w:p w14:paraId="73ED3115"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1.09</w:t>
            </w:r>
          </w:p>
        </w:tc>
        <w:tc>
          <w:tcPr>
            <w:tcW w:w="1440" w:type="dxa"/>
          </w:tcPr>
          <w:p w14:paraId="6D80FA9F" w14:textId="7C552EC9"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0.96</w:t>
            </w:r>
            <w:r w:rsidR="00622046">
              <w:rPr>
                <w:sz w:val="18"/>
              </w:rPr>
              <w:t>–</w:t>
            </w:r>
            <w:r>
              <w:rPr>
                <w:sz w:val="18"/>
              </w:rPr>
              <w:t>1.24</w:t>
            </w:r>
          </w:p>
        </w:tc>
        <w:tc>
          <w:tcPr>
            <w:tcW w:w="1152" w:type="dxa"/>
          </w:tcPr>
          <w:p w14:paraId="081B99AE"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0.177</w:t>
            </w:r>
          </w:p>
        </w:tc>
        <w:tc>
          <w:tcPr>
            <w:tcW w:w="3888" w:type="dxa"/>
          </w:tcPr>
          <w:p w14:paraId="25E35BB0"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No clear evidence of non-proportionality for scaling</w:t>
            </w:r>
          </w:p>
        </w:tc>
      </w:tr>
      <w:tr w:rsidR="007B7EB3" w14:paraId="4793EE1D" w14:textId="77777777" w:rsidTr="007B7EB3">
        <w:tc>
          <w:tcPr>
            <w:cnfStyle w:val="001000000000" w:firstRow="0" w:lastRow="0" w:firstColumn="1" w:lastColumn="0" w:oddVBand="0" w:evenVBand="0" w:oddHBand="0" w:evenHBand="0" w:firstRowFirstColumn="0" w:firstRowLastColumn="0" w:lastRowFirstColumn="0" w:lastRowLastColumn="0"/>
            <w:tcW w:w="4031" w:type="dxa"/>
          </w:tcPr>
          <w:p w14:paraId="48587A10" w14:textId="322FA06A" w:rsidR="00605504" w:rsidRDefault="000E1A2B">
            <w:pPr>
              <w:spacing w:line="480" w:lineRule="auto"/>
              <w:ind w:left="216"/>
              <w:rPr>
                <w:sz w:val="18"/>
              </w:rPr>
            </w:pPr>
            <w:r>
              <w:rPr>
                <w:sz w:val="18"/>
              </w:rPr>
              <w:t>Scaling Schoenfeld residual vs</w:t>
            </w:r>
            <w:r w:rsidR="00622046">
              <w:rPr>
                <w:sz w:val="18"/>
              </w:rPr>
              <w:t>.</w:t>
            </w:r>
            <w:r>
              <w:rPr>
                <w:sz w:val="18"/>
              </w:rPr>
              <w:t xml:space="preserve"> follow-up time</w:t>
            </w:r>
          </w:p>
        </w:tc>
        <w:tc>
          <w:tcPr>
            <w:tcW w:w="1296" w:type="dxa"/>
          </w:tcPr>
          <w:p w14:paraId="054F860B"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ρ</w:t>
            </w:r>
          </w:p>
        </w:tc>
        <w:tc>
          <w:tcPr>
            <w:tcW w:w="1152" w:type="dxa"/>
          </w:tcPr>
          <w:p w14:paraId="56D5F962"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0.00894</w:t>
            </w:r>
          </w:p>
        </w:tc>
        <w:tc>
          <w:tcPr>
            <w:tcW w:w="1440" w:type="dxa"/>
          </w:tcPr>
          <w:p w14:paraId="69CD16F1"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NA</w:t>
            </w:r>
          </w:p>
        </w:tc>
        <w:tc>
          <w:tcPr>
            <w:tcW w:w="1152" w:type="dxa"/>
          </w:tcPr>
          <w:p w14:paraId="7BF5FC6E"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0.455</w:t>
            </w:r>
          </w:p>
        </w:tc>
        <w:tc>
          <w:tcPr>
            <w:tcW w:w="3888" w:type="dxa"/>
          </w:tcPr>
          <w:p w14:paraId="26E202D8"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No significant correlation</w:t>
            </w:r>
          </w:p>
        </w:tc>
      </w:tr>
      <w:tr w:rsidR="007B7EB3" w14:paraId="43F15AEF"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1" w:type="dxa"/>
          </w:tcPr>
          <w:p w14:paraId="1122999E" w14:textId="6829E27D" w:rsidR="00605504" w:rsidRDefault="000E1A2B">
            <w:pPr>
              <w:spacing w:line="480" w:lineRule="auto"/>
              <w:ind w:left="216"/>
              <w:rPr>
                <w:sz w:val="18"/>
              </w:rPr>
            </w:pPr>
            <w:r>
              <w:rPr>
                <w:sz w:val="18"/>
              </w:rPr>
              <w:t>Scaling Schoenfeld residual vs</w:t>
            </w:r>
            <w:r w:rsidR="00622046">
              <w:rPr>
                <w:sz w:val="18"/>
              </w:rPr>
              <w:t>.</w:t>
            </w:r>
            <w:r>
              <w:rPr>
                <w:sz w:val="18"/>
              </w:rPr>
              <w:t xml:space="preserve"> log follow-up time</w:t>
            </w:r>
          </w:p>
        </w:tc>
        <w:tc>
          <w:tcPr>
            <w:tcW w:w="1296" w:type="dxa"/>
          </w:tcPr>
          <w:p w14:paraId="776BF605"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ρ</w:t>
            </w:r>
          </w:p>
        </w:tc>
        <w:tc>
          <w:tcPr>
            <w:tcW w:w="1152" w:type="dxa"/>
          </w:tcPr>
          <w:p w14:paraId="03CA23CB"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0.01513</w:t>
            </w:r>
          </w:p>
        </w:tc>
        <w:tc>
          <w:tcPr>
            <w:tcW w:w="1440" w:type="dxa"/>
          </w:tcPr>
          <w:p w14:paraId="7CCBCD87"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NA</w:t>
            </w:r>
          </w:p>
        </w:tc>
        <w:tc>
          <w:tcPr>
            <w:tcW w:w="1152" w:type="dxa"/>
          </w:tcPr>
          <w:p w14:paraId="3198A962"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0.206</w:t>
            </w:r>
          </w:p>
        </w:tc>
        <w:tc>
          <w:tcPr>
            <w:tcW w:w="3888" w:type="dxa"/>
          </w:tcPr>
          <w:p w14:paraId="48A6D976"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No significant correlation</w:t>
            </w:r>
          </w:p>
        </w:tc>
      </w:tr>
    </w:tbl>
    <w:p w14:paraId="1D3A5F37" w14:textId="06BB7598" w:rsidR="00605504" w:rsidRDefault="000E1A2B">
      <w:pPr>
        <w:spacing w:before="80" w:after="160" w:line="480" w:lineRule="auto"/>
        <w:rPr>
          <w:sz w:val="18"/>
        </w:rPr>
      </w:pPr>
      <w:r>
        <w:rPr>
          <w:sz w:val="18"/>
        </w:rPr>
        <w:t>The interaction term between dental scaling status and log-transformed follow-up time was added to the fully adjusted Fine</w:t>
      </w:r>
      <w:r w:rsidR="00622046">
        <w:rPr>
          <w:sz w:val="18"/>
        </w:rPr>
        <w:t>–</w:t>
      </w:r>
      <w:r>
        <w:rPr>
          <w:sz w:val="18"/>
        </w:rPr>
        <w:t xml:space="preserve">Gray model. </w:t>
      </w:r>
      <w:r w:rsidR="00622046">
        <w:rPr>
          <w:sz w:val="18"/>
        </w:rPr>
        <w:t xml:space="preserve">The </w:t>
      </w:r>
      <w:r>
        <w:rPr>
          <w:sz w:val="18"/>
        </w:rPr>
        <w:t>Schoenfeld residuals were obtained from the Fine</w:t>
      </w:r>
      <w:r w:rsidR="00622046">
        <w:rPr>
          <w:sz w:val="18"/>
        </w:rPr>
        <w:t>–</w:t>
      </w:r>
      <w:r>
        <w:rPr>
          <w:sz w:val="18"/>
        </w:rPr>
        <w:t>Gray proportional sub</w:t>
      </w:r>
      <w:r w:rsidR="00193E53">
        <w:rPr>
          <w:rFonts w:eastAsiaTheme="minorEastAsia" w:hint="eastAsia"/>
          <w:sz w:val="18"/>
          <w:lang w:eastAsia="ko-KR"/>
        </w:rPr>
        <w:t>-</w:t>
      </w:r>
      <w:r>
        <w:rPr>
          <w:sz w:val="18"/>
        </w:rPr>
        <w:t xml:space="preserve">distribution hazards model using STATUS = 0 as censored, STATUS = 1 as LTCI entry, and STATUS = 2 as death before LTCI entry as a competing event. Correlations between </w:t>
      </w:r>
      <w:r w:rsidR="00622046">
        <w:rPr>
          <w:sz w:val="18"/>
        </w:rPr>
        <w:t xml:space="preserve">the </w:t>
      </w:r>
      <w:r>
        <w:rPr>
          <w:sz w:val="18"/>
        </w:rPr>
        <w:t>Schoenfeld residuals and follow-up time are shown among</w:t>
      </w:r>
      <w:r>
        <w:rPr>
          <w:sz w:val="18"/>
        </w:rPr>
        <w:t xml:space="preserve"> LTCI entry events. CI, confidence interval; LTCI, long-term care insurance.</w:t>
      </w:r>
    </w:p>
    <w:p w14:paraId="63637308" w14:textId="77777777" w:rsidR="00605504" w:rsidRDefault="000E1A2B">
      <w:pPr>
        <w:spacing w:before="160" w:after="80" w:line="480" w:lineRule="auto"/>
        <w:rPr>
          <w:b/>
        </w:rPr>
      </w:pPr>
      <w:r>
        <w:rPr>
          <w:b/>
        </w:rPr>
        <w:t>Table S5. Five-year RMTL to LTCI entry</w:t>
      </w:r>
    </w:p>
    <w:tbl>
      <w:tblPr>
        <w:tblStyle w:val="28"/>
        <w:tblW w:w="0" w:type="auto"/>
        <w:tblLook w:val="04A0" w:firstRow="1" w:lastRow="0" w:firstColumn="1" w:lastColumn="0" w:noHBand="0" w:noVBand="1"/>
      </w:tblPr>
      <w:tblGrid>
        <w:gridCol w:w="4320"/>
        <w:gridCol w:w="1872"/>
        <w:gridCol w:w="2160"/>
        <w:gridCol w:w="2160"/>
      </w:tblGrid>
      <w:tr w:rsidR="007B7EB3" w14:paraId="43708DE1" w14:textId="77777777" w:rsidTr="007B7E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940E0A1" w14:textId="77777777" w:rsidR="00605504" w:rsidRDefault="000E1A2B">
            <w:pPr>
              <w:spacing w:line="480" w:lineRule="auto"/>
              <w:jc w:val="center"/>
              <w:rPr>
                <w:sz w:val="18"/>
              </w:rPr>
            </w:pPr>
            <w:r>
              <w:rPr>
                <w:sz w:val="18"/>
              </w:rPr>
              <w:lastRenderedPageBreak/>
              <w:t>Measure</w:t>
            </w:r>
          </w:p>
        </w:tc>
        <w:tc>
          <w:tcPr>
            <w:tcW w:w="1872" w:type="dxa"/>
          </w:tcPr>
          <w:p w14:paraId="48F681D0"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Estimate, days</w:t>
            </w:r>
          </w:p>
        </w:tc>
        <w:tc>
          <w:tcPr>
            <w:tcW w:w="2160" w:type="dxa"/>
          </w:tcPr>
          <w:p w14:paraId="33DEF62F"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Lower 95% CI, days</w:t>
            </w:r>
          </w:p>
        </w:tc>
        <w:tc>
          <w:tcPr>
            <w:tcW w:w="2160" w:type="dxa"/>
          </w:tcPr>
          <w:p w14:paraId="0B9738F4" w14:textId="77777777" w:rsidR="00605504" w:rsidRDefault="000E1A2B">
            <w:pPr>
              <w:spacing w:line="480" w:lineRule="auto"/>
              <w:jc w:val="center"/>
              <w:cnfStyle w:val="100000000000" w:firstRow="1" w:lastRow="0" w:firstColumn="0" w:lastColumn="0" w:oddVBand="0" w:evenVBand="0" w:oddHBand="0" w:evenHBand="0" w:firstRowFirstColumn="0" w:firstRowLastColumn="0" w:lastRowFirstColumn="0" w:lastRowLastColumn="0"/>
              <w:rPr>
                <w:sz w:val="18"/>
              </w:rPr>
            </w:pPr>
            <w:r>
              <w:rPr>
                <w:sz w:val="18"/>
              </w:rPr>
              <w:t>Upper 95% CI, days</w:t>
            </w:r>
          </w:p>
        </w:tc>
      </w:tr>
      <w:tr w:rsidR="007B7EB3" w14:paraId="7DC0DC8D"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FFFD524" w14:textId="77777777" w:rsidR="00605504" w:rsidRDefault="000E1A2B">
            <w:pPr>
              <w:spacing w:line="480" w:lineRule="auto"/>
              <w:ind w:left="216"/>
              <w:rPr>
                <w:sz w:val="18"/>
              </w:rPr>
            </w:pPr>
            <w:r>
              <w:rPr>
                <w:sz w:val="18"/>
              </w:rPr>
              <w:t>No scaling</w:t>
            </w:r>
          </w:p>
        </w:tc>
        <w:tc>
          <w:tcPr>
            <w:tcW w:w="1872" w:type="dxa"/>
          </w:tcPr>
          <w:p w14:paraId="24A0AF34"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54.49</w:t>
            </w:r>
          </w:p>
        </w:tc>
        <w:tc>
          <w:tcPr>
            <w:tcW w:w="2160" w:type="dxa"/>
          </w:tcPr>
          <w:p w14:paraId="436E31A9"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52.97</w:t>
            </w:r>
          </w:p>
        </w:tc>
        <w:tc>
          <w:tcPr>
            <w:tcW w:w="2160" w:type="dxa"/>
          </w:tcPr>
          <w:p w14:paraId="7573FD14"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56.08</w:t>
            </w:r>
          </w:p>
        </w:tc>
      </w:tr>
      <w:tr w:rsidR="007B7EB3" w14:paraId="674A7811" w14:textId="77777777" w:rsidTr="007B7EB3">
        <w:tc>
          <w:tcPr>
            <w:cnfStyle w:val="001000000000" w:firstRow="0" w:lastRow="0" w:firstColumn="1" w:lastColumn="0" w:oddVBand="0" w:evenVBand="0" w:oddHBand="0" w:evenHBand="0" w:firstRowFirstColumn="0" w:firstRowLastColumn="0" w:lastRowFirstColumn="0" w:lastRowLastColumn="0"/>
            <w:tcW w:w="4320" w:type="dxa"/>
          </w:tcPr>
          <w:p w14:paraId="6ADA09D3" w14:textId="77777777" w:rsidR="00605504" w:rsidRDefault="000E1A2B">
            <w:pPr>
              <w:spacing w:line="480" w:lineRule="auto"/>
              <w:ind w:left="216"/>
              <w:rPr>
                <w:sz w:val="18"/>
              </w:rPr>
            </w:pPr>
            <w:r>
              <w:rPr>
                <w:sz w:val="18"/>
              </w:rPr>
              <w:t>Scaling</w:t>
            </w:r>
          </w:p>
        </w:tc>
        <w:tc>
          <w:tcPr>
            <w:tcW w:w="1872" w:type="dxa"/>
          </w:tcPr>
          <w:p w14:paraId="49B7E68D"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24.93</w:t>
            </w:r>
          </w:p>
        </w:tc>
        <w:tc>
          <w:tcPr>
            <w:tcW w:w="2160" w:type="dxa"/>
          </w:tcPr>
          <w:p w14:paraId="2F1495A7"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22.62</w:t>
            </w:r>
          </w:p>
        </w:tc>
        <w:tc>
          <w:tcPr>
            <w:tcW w:w="2160" w:type="dxa"/>
          </w:tcPr>
          <w:p w14:paraId="43BDE6C2" w14:textId="77777777" w:rsidR="00605504" w:rsidRDefault="000E1A2B">
            <w:pPr>
              <w:spacing w:line="480" w:lineRule="auto"/>
              <w:jc w:val="center"/>
              <w:cnfStyle w:val="000000000000" w:firstRow="0" w:lastRow="0" w:firstColumn="0" w:lastColumn="0" w:oddVBand="0" w:evenVBand="0" w:oddHBand="0" w:evenHBand="0" w:firstRowFirstColumn="0" w:firstRowLastColumn="0" w:lastRowFirstColumn="0" w:lastRowLastColumn="0"/>
              <w:rPr>
                <w:sz w:val="18"/>
              </w:rPr>
            </w:pPr>
            <w:r>
              <w:rPr>
                <w:sz w:val="18"/>
              </w:rPr>
              <w:t>27.58</w:t>
            </w:r>
          </w:p>
        </w:tc>
      </w:tr>
      <w:tr w:rsidR="007B7EB3" w14:paraId="6734D6CC" w14:textId="77777777" w:rsidTr="007B7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EED0AFB" w14:textId="77777777" w:rsidR="00605504" w:rsidRDefault="000E1A2B">
            <w:pPr>
              <w:spacing w:line="480" w:lineRule="auto"/>
              <w:ind w:left="216"/>
              <w:rPr>
                <w:sz w:val="18"/>
              </w:rPr>
            </w:pPr>
            <w:r>
              <w:rPr>
                <w:sz w:val="18"/>
              </w:rPr>
              <w:t>Difference, No scaling minus Scaling</w:t>
            </w:r>
          </w:p>
        </w:tc>
        <w:tc>
          <w:tcPr>
            <w:tcW w:w="1872" w:type="dxa"/>
          </w:tcPr>
          <w:p w14:paraId="56CAFAC0"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29.56</w:t>
            </w:r>
          </w:p>
        </w:tc>
        <w:tc>
          <w:tcPr>
            <w:tcW w:w="2160" w:type="dxa"/>
          </w:tcPr>
          <w:p w14:paraId="44028119"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26.62</w:t>
            </w:r>
          </w:p>
        </w:tc>
        <w:tc>
          <w:tcPr>
            <w:tcW w:w="2160" w:type="dxa"/>
          </w:tcPr>
          <w:p w14:paraId="2F1F84C2" w14:textId="77777777" w:rsidR="00605504" w:rsidRDefault="000E1A2B">
            <w:pPr>
              <w:spacing w:line="480" w:lineRule="auto"/>
              <w:jc w:val="center"/>
              <w:cnfStyle w:val="000000100000" w:firstRow="0" w:lastRow="0" w:firstColumn="0" w:lastColumn="0" w:oddVBand="0" w:evenVBand="0" w:oddHBand="1" w:evenHBand="0" w:firstRowFirstColumn="0" w:firstRowLastColumn="0" w:lastRowFirstColumn="0" w:lastRowLastColumn="0"/>
              <w:rPr>
                <w:sz w:val="18"/>
              </w:rPr>
            </w:pPr>
            <w:r>
              <w:rPr>
                <w:sz w:val="18"/>
              </w:rPr>
              <w:t>32.32</w:t>
            </w:r>
          </w:p>
        </w:tc>
      </w:tr>
    </w:tbl>
    <w:p w14:paraId="71214585" w14:textId="0667EF4F" w:rsidR="00605504" w:rsidRDefault="000E1A2B">
      <w:pPr>
        <w:spacing w:before="80" w:after="160" w:line="480" w:lineRule="auto"/>
        <w:rPr>
          <w:sz w:val="18"/>
        </w:rPr>
      </w:pPr>
      <w:r>
        <w:rPr>
          <w:sz w:val="18"/>
        </w:rPr>
        <w:t xml:space="preserve">RMTL was calculated as the area under the cumulative incidence function for LTCI entry up to 5 years (tau = 1825 days), treating death before </w:t>
      </w:r>
      <w:r>
        <w:rPr>
          <w:sz w:val="18"/>
        </w:rPr>
        <w:t>LTCI entry as a competing event. The difference was calculated as No scaling minus Scaling; positive values indicate greater restricted mean time lost in the no-scaling group. Bootstrap percentile 95% confidence intervals are shown. CI, confidence interval; LTCI, long-term care insurance; RMTL, restricted mean time lost.</w:t>
      </w:r>
    </w:p>
    <w:sectPr w:rsidR="00605504">
      <w:footerReference w:type="default" r:id="rId8"/>
      <w:pgSz w:w="15840" w:h="12240" w:orient="landscape"/>
      <w:pgMar w:top="1440" w:right="1440" w:bottom="1440" w:left="1440" w:header="720" w:footer="720" w:gutter="0"/>
      <w:lnNumType w:countBy="1" w:distance="360"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B9217" w14:textId="77777777" w:rsidR="000E1A2B" w:rsidRDefault="000E1A2B">
      <w:pPr>
        <w:spacing w:after="0" w:line="240" w:lineRule="auto"/>
      </w:pPr>
      <w:r>
        <w:separator/>
      </w:r>
    </w:p>
  </w:endnote>
  <w:endnote w:type="continuationSeparator" w:id="0">
    <w:p w14:paraId="02DBBD7D" w14:textId="77777777" w:rsidR="000E1A2B" w:rsidRDefault="000E1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3A2C" w14:textId="77777777" w:rsidR="00605504" w:rsidRDefault="000E1A2B">
    <w:pPr>
      <w:pStyle w:val="aff1"/>
      <w:jc w:val="center"/>
      <w:rPr>
        <w:sz w:val="20"/>
      </w:rPr>
    </w:pPr>
    <w:r>
      <w:rPr>
        <w:sz w:val="20"/>
      </w:rPr>
      <w:fldChar w:fldCharType="begin"/>
    </w:r>
    <w:r>
      <w:rPr>
        <w:sz w:val="20"/>
      </w:rPr>
      <w:instrText>PAGE</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F44B" w14:textId="77777777" w:rsidR="000E1A2B" w:rsidRDefault="000E1A2B">
      <w:pPr>
        <w:spacing w:after="0" w:line="240" w:lineRule="auto"/>
      </w:pPr>
      <w:r>
        <w:separator/>
      </w:r>
    </w:p>
  </w:footnote>
  <w:footnote w:type="continuationSeparator" w:id="0">
    <w:p w14:paraId="3CAEF4B3" w14:textId="77777777" w:rsidR="000E1A2B" w:rsidRDefault="000E1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0856"/>
    <w:multiLevelType w:val="hybridMultilevel"/>
    <w:tmpl w:val="00000000"/>
    <w:lvl w:ilvl="0" w:tplc="48CAE202">
      <w:start w:val="1"/>
      <w:numFmt w:val="decimal"/>
      <w:pStyle w:val="a"/>
      <w:lvlText w:val="%1."/>
      <w:lvlJc w:val="left"/>
      <w:pPr>
        <w:ind w:left="360" w:hanging="360"/>
      </w:pPr>
    </w:lvl>
    <w:lvl w:ilvl="1" w:tplc="E0AA68F0">
      <w:start w:val="1"/>
      <w:numFmt w:val="decimal"/>
      <w:lvlText w:val=""/>
      <w:lvlJc w:val="left"/>
    </w:lvl>
    <w:lvl w:ilvl="2" w:tplc="286E6D02">
      <w:start w:val="1"/>
      <w:numFmt w:val="decimal"/>
      <w:lvlText w:val=""/>
      <w:lvlJc w:val="left"/>
    </w:lvl>
    <w:lvl w:ilvl="3" w:tplc="49F80A5C">
      <w:start w:val="1"/>
      <w:numFmt w:val="decimal"/>
      <w:lvlText w:val=""/>
      <w:lvlJc w:val="left"/>
    </w:lvl>
    <w:lvl w:ilvl="4" w:tplc="B86A5D04">
      <w:start w:val="1"/>
      <w:numFmt w:val="decimal"/>
      <w:lvlText w:val=""/>
      <w:lvlJc w:val="left"/>
    </w:lvl>
    <w:lvl w:ilvl="5" w:tplc="E5DE258C">
      <w:start w:val="1"/>
      <w:numFmt w:val="decimal"/>
      <w:lvlText w:val=""/>
      <w:lvlJc w:val="left"/>
    </w:lvl>
    <w:lvl w:ilvl="6" w:tplc="AF40CD6C">
      <w:start w:val="1"/>
      <w:numFmt w:val="decimal"/>
      <w:lvlText w:val=""/>
      <w:lvlJc w:val="left"/>
    </w:lvl>
    <w:lvl w:ilvl="7" w:tplc="63E846BA">
      <w:start w:val="1"/>
      <w:numFmt w:val="decimal"/>
      <w:lvlText w:val=""/>
      <w:lvlJc w:val="left"/>
    </w:lvl>
    <w:lvl w:ilvl="8" w:tplc="B1C6AFBE">
      <w:start w:val="1"/>
      <w:numFmt w:val="decimal"/>
      <w:lvlText w:val=""/>
      <w:lvlJc w:val="left"/>
    </w:lvl>
  </w:abstractNum>
  <w:abstractNum w:abstractNumId="1" w15:restartNumberingAfterBreak="0">
    <w:nsid w:val="157CE216"/>
    <w:multiLevelType w:val="hybridMultilevel"/>
    <w:tmpl w:val="00000000"/>
    <w:lvl w:ilvl="0" w:tplc="22E61444">
      <w:start w:val="1"/>
      <w:numFmt w:val="bullet"/>
      <w:pStyle w:val="2"/>
      <w:lvlText w:val=""/>
      <w:lvlJc w:val="left"/>
      <w:pPr>
        <w:ind w:left="720" w:hanging="360"/>
      </w:pPr>
      <w:rPr>
        <w:rFonts w:ascii="Symbol" w:eastAsia="Symbol" w:hAnsi="Symbol" w:cs="Symbol"/>
      </w:rPr>
    </w:lvl>
    <w:lvl w:ilvl="1" w:tplc="D4C89F14">
      <w:start w:val="1"/>
      <w:numFmt w:val="decimal"/>
      <w:lvlText w:val=""/>
      <w:lvlJc w:val="left"/>
    </w:lvl>
    <w:lvl w:ilvl="2" w:tplc="6D9A46D0">
      <w:start w:val="1"/>
      <w:numFmt w:val="decimal"/>
      <w:lvlText w:val=""/>
      <w:lvlJc w:val="left"/>
    </w:lvl>
    <w:lvl w:ilvl="3" w:tplc="1924FCDE">
      <w:start w:val="1"/>
      <w:numFmt w:val="decimal"/>
      <w:lvlText w:val=""/>
      <w:lvlJc w:val="left"/>
    </w:lvl>
    <w:lvl w:ilvl="4" w:tplc="7BDE91F0">
      <w:start w:val="1"/>
      <w:numFmt w:val="decimal"/>
      <w:lvlText w:val=""/>
      <w:lvlJc w:val="left"/>
    </w:lvl>
    <w:lvl w:ilvl="5" w:tplc="3A0C67B4">
      <w:start w:val="1"/>
      <w:numFmt w:val="decimal"/>
      <w:lvlText w:val=""/>
      <w:lvlJc w:val="left"/>
    </w:lvl>
    <w:lvl w:ilvl="6" w:tplc="0158C85C">
      <w:start w:val="1"/>
      <w:numFmt w:val="decimal"/>
      <w:lvlText w:val=""/>
      <w:lvlJc w:val="left"/>
    </w:lvl>
    <w:lvl w:ilvl="7" w:tplc="25601FAE">
      <w:start w:val="1"/>
      <w:numFmt w:val="decimal"/>
      <w:lvlText w:val=""/>
      <w:lvlJc w:val="left"/>
    </w:lvl>
    <w:lvl w:ilvl="8" w:tplc="C4C2D508">
      <w:start w:val="1"/>
      <w:numFmt w:val="decimal"/>
      <w:lvlText w:val=""/>
      <w:lvlJc w:val="left"/>
    </w:lvl>
  </w:abstractNum>
  <w:abstractNum w:abstractNumId="2" w15:restartNumberingAfterBreak="0">
    <w:nsid w:val="18188733"/>
    <w:multiLevelType w:val="hybridMultilevel"/>
    <w:tmpl w:val="00000000"/>
    <w:lvl w:ilvl="0" w:tplc="6C2079F6">
      <w:start w:val="1"/>
      <w:numFmt w:val="bullet"/>
      <w:lvlText w:val=""/>
      <w:lvlJc w:val="left"/>
      <w:pPr>
        <w:ind w:left="1440" w:hanging="360"/>
      </w:pPr>
      <w:rPr>
        <w:rFonts w:ascii="Symbol" w:eastAsia="Symbol" w:hAnsi="Symbol" w:cs="Symbol"/>
      </w:rPr>
    </w:lvl>
    <w:lvl w:ilvl="1" w:tplc="730ADFD0">
      <w:start w:val="1"/>
      <w:numFmt w:val="decimal"/>
      <w:lvlText w:val=""/>
      <w:lvlJc w:val="left"/>
    </w:lvl>
    <w:lvl w:ilvl="2" w:tplc="C13E20A0">
      <w:start w:val="1"/>
      <w:numFmt w:val="decimal"/>
      <w:lvlText w:val=""/>
      <w:lvlJc w:val="left"/>
    </w:lvl>
    <w:lvl w:ilvl="3" w:tplc="F64EA59C">
      <w:start w:val="1"/>
      <w:numFmt w:val="decimal"/>
      <w:lvlText w:val=""/>
      <w:lvlJc w:val="left"/>
    </w:lvl>
    <w:lvl w:ilvl="4" w:tplc="FEBAE27C">
      <w:start w:val="1"/>
      <w:numFmt w:val="decimal"/>
      <w:lvlText w:val=""/>
      <w:lvlJc w:val="left"/>
    </w:lvl>
    <w:lvl w:ilvl="5" w:tplc="71309FAE">
      <w:start w:val="1"/>
      <w:numFmt w:val="decimal"/>
      <w:lvlText w:val=""/>
      <w:lvlJc w:val="left"/>
    </w:lvl>
    <w:lvl w:ilvl="6" w:tplc="66927C4E">
      <w:start w:val="1"/>
      <w:numFmt w:val="decimal"/>
      <w:lvlText w:val=""/>
      <w:lvlJc w:val="left"/>
    </w:lvl>
    <w:lvl w:ilvl="7" w:tplc="5A3E607E">
      <w:start w:val="1"/>
      <w:numFmt w:val="decimal"/>
      <w:lvlText w:val=""/>
      <w:lvlJc w:val="left"/>
    </w:lvl>
    <w:lvl w:ilvl="8" w:tplc="50928ACC">
      <w:start w:val="1"/>
      <w:numFmt w:val="decimal"/>
      <w:lvlText w:val=""/>
      <w:lvlJc w:val="left"/>
    </w:lvl>
  </w:abstractNum>
  <w:abstractNum w:abstractNumId="3" w15:restartNumberingAfterBreak="0">
    <w:nsid w:val="208AE844"/>
    <w:multiLevelType w:val="hybridMultilevel"/>
    <w:tmpl w:val="00000000"/>
    <w:lvl w:ilvl="0" w:tplc="40C63862">
      <w:start w:val="1"/>
      <w:numFmt w:val="decimal"/>
      <w:lvlText w:val="%1."/>
      <w:lvlJc w:val="left"/>
      <w:pPr>
        <w:ind w:left="1440" w:hanging="360"/>
      </w:pPr>
    </w:lvl>
    <w:lvl w:ilvl="1" w:tplc="6B7251BC">
      <w:start w:val="1"/>
      <w:numFmt w:val="decimal"/>
      <w:lvlText w:val=""/>
      <w:lvlJc w:val="left"/>
    </w:lvl>
    <w:lvl w:ilvl="2" w:tplc="017EAD98">
      <w:start w:val="1"/>
      <w:numFmt w:val="decimal"/>
      <w:lvlText w:val=""/>
      <w:lvlJc w:val="left"/>
    </w:lvl>
    <w:lvl w:ilvl="3" w:tplc="535C528E">
      <w:start w:val="1"/>
      <w:numFmt w:val="decimal"/>
      <w:lvlText w:val=""/>
      <w:lvlJc w:val="left"/>
    </w:lvl>
    <w:lvl w:ilvl="4" w:tplc="A6964322">
      <w:start w:val="1"/>
      <w:numFmt w:val="decimal"/>
      <w:lvlText w:val=""/>
      <w:lvlJc w:val="left"/>
    </w:lvl>
    <w:lvl w:ilvl="5" w:tplc="D7C40C4C">
      <w:start w:val="1"/>
      <w:numFmt w:val="decimal"/>
      <w:lvlText w:val=""/>
      <w:lvlJc w:val="left"/>
    </w:lvl>
    <w:lvl w:ilvl="6" w:tplc="FFF4D626">
      <w:start w:val="1"/>
      <w:numFmt w:val="decimal"/>
      <w:lvlText w:val=""/>
      <w:lvlJc w:val="left"/>
    </w:lvl>
    <w:lvl w:ilvl="7" w:tplc="EA8215D8">
      <w:start w:val="1"/>
      <w:numFmt w:val="decimal"/>
      <w:lvlText w:val=""/>
      <w:lvlJc w:val="left"/>
    </w:lvl>
    <w:lvl w:ilvl="8" w:tplc="56B83268">
      <w:start w:val="1"/>
      <w:numFmt w:val="decimal"/>
      <w:lvlText w:val=""/>
      <w:lvlJc w:val="left"/>
    </w:lvl>
  </w:abstractNum>
  <w:abstractNum w:abstractNumId="4" w15:restartNumberingAfterBreak="0">
    <w:nsid w:val="2756D525"/>
    <w:multiLevelType w:val="hybridMultilevel"/>
    <w:tmpl w:val="00000000"/>
    <w:lvl w:ilvl="0" w:tplc="4F6C5A38">
      <w:start w:val="1"/>
      <w:numFmt w:val="decimal"/>
      <w:lvlText w:val="%1."/>
      <w:lvlJc w:val="left"/>
      <w:pPr>
        <w:ind w:left="1800" w:hanging="360"/>
      </w:pPr>
    </w:lvl>
    <w:lvl w:ilvl="1" w:tplc="9A5C549C">
      <w:start w:val="1"/>
      <w:numFmt w:val="decimal"/>
      <w:lvlText w:val=""/>
      <w:lvlJc w:val="left"/>
    </w:lvl>
    <w:lvl w:ilvl="2" w:tplc="3A0AF698">
      <w:start w:val="1"/>
      <w:numFmt w:val="decimal"/>
      <w:lvlText w:val=""/>
      <w:lvlJc w:val="left"/>
    </w:lvl>
    <w:lvl w:ilvl="3" w:tplc="BB3ECA88">
      <w:start w:val="1"/>
      <w:numFmt w:val="decimal"/>
      <w:lvlText w:val=""/>
      <w:lvlJc w:val="left"/>
    </w:lvl>
    <w:lvl w:ilvl="4" w:tplc="79CC0D68">
      <w:start w:val="1"/>
      <w:numFmt w:val="decimal"/>
      <w:lvlText w:val=""/>
      <w:lvlJc w:val="left"/>
    </w:lvl>
    <w:lvl w:ilvl="5" w:tplc="C7360E00">
      <w:start w:val="1"/>
      <w:numFmt w:val="decimal"/>
      <w:lvlText w:val=""/>
      <w:lvlJc w:val="left"/>
    </w:lvl>
    <w:lvl w:ilvl="6" w:tplc="7DE8CB00">
      <w:start w:val="1"/>
      <w:numFmt w:val="decimal"/>
      <w:lvlText w:val=""/>
      <w:lvlJc w:val="left"/>
    </w:lvl>
    <w:lvl w:ilvl="7" w:tplc="5024F334">
      <w:start w:val="1"/>
      <w:numFmt w:val="decimal"/>
      <w:lvlText w:val=""/>
      <w:lvlJc w:val="left"/>
    </w:lvl>
    <w:lvl w:ilvl="8" w:tplc="D576B778">
      <w:start w:val="1"/>
      <w:numFmt w:val="decimal"/>
      <w:lvlText w:val=""/>
      <w:lvlJc w:val="left"/>
    </w:lvl>
  </w:abstractNum>
  <w:abstractNum w:abstractNumId="5" w15:restartNumberingAfterBreak="0">
    <w:nsid w:val="55C1AB50"/>
    <w:multiLevelType w:val="hybridMultilevel"/>
    <w:tmpl w:val="00000000"/>
    <w:lvl w:ilvl="0" w:tplc="3642FFF0">
      <w:start w:val="1"/>
      <w:numFmt w:val="decimal"/>
      <w:pStyle w:val="3"/>
      <w:lvlText w:val="%1."/>
      <w:lvlJc w:val="left"/>
      <w:pPr>
        <w:ind w:left="1080" w:hanging="360"/>
      </w:pPr>
    </w:lvl>
    <w:lvl w:ilvl="1" w:tplc="25AEF2D8">
      <w:start w:val="1"/>
      <w:numFmt w:val="decimal"/>
      <w:lvlText w:val=""/>
      <w:lvlJc w:val="left"/>
    </w:lvl>
    <w:lvl w:ilvl="2" w:tplc="F856838C">
      <w:start w:val="1"/>
      <w:numFmt w:val="decimal"/>
      <w:lvlText w:val=""/>
      <w:lvlJc w:val="left"/>
    </w:lvl>
    <w:lvl w:ilvl="3" w:tplc="F05238A2">
      <w:start w:val="1"/>
      <w:numFmt w:val="decimal"/>
      <w:lvlText w:val=""/>
      <w:lvlJc w:val="left"/>
    </w:lvl>
    <w:lvl w:ilvl="4" w:tplc="FEC0C46C">
      <w:start w:val="1"/>
      <w:numFmt w:val="decimal"/>
      <w:lvlText w:val=""/>
      <w:lvlJc w:val="left"/>
    </w:lvl>
    <w:lvl w:ilvl="5" w:tplc="14208C08">
      <w:start w:val="1"/>
      <w:numFmt w:val="decimal"/>
      <w:lvlText w:val=""/>
      <w:lvlJc w:val="left"/>
    </w:lvl>
    <w:lvl w:ilvl="6" w:tplc="968CE27C">
      <w:start w:val="1"/>
      <w:numFmt w:val="decimal"/>
      <w:lvlText w:val=""/>
      <w:lvlJc w:val="left"/>
    </w:lvl>
    <w:lvl w:ilvl="7" w:tplc="57804A80">
      <w:start w:val="1"/>
      <w:numFmt w:val="decimal"/>
      <w:lvlText w:val=""/>
      <w:lvlJc w:val="left"/>
    </w:lvl>
    <w:lvl w:ilvl="8" w:tplc="6FA0D586">
      <w:start w:val="1"/>
      <w:numFmt w:val="decimal"/>
      <w:lvlText w:val=""/>
      <w:lvlJc w:val="left"/>
    </w:lvl>
  </w:abstractNum>
  <w:abstractNum w:abstractNumId="6" w15:restartNumberingAfterBreak="0">
    <w:nsid w:val="6A10C17E"/>
    <w:multiLevelType w:val="hybridMultilevel"/>
    <w:tmpl w:val="00000000"/>
    <w:lvl w:ilvl="0" w:tplc="41B2D964">
      <w:start w:val="1"/>
      <w:numFmt w:val="bullet"/>
      <w:pStyle w:val="30"/>
      <w:lvlText w:val=""/>
      <w:lvlJc w:val="left"/>
      <w:pPr>
        <w:ind w:left="1080" w:hanging="360"/>
      </w:pPr>
      <w:rPr>
        <w:rFonts w:ascii="Symbol" w:eastAsia="Symbol" w:hAnsi="Symbol" w:cs="Symbol"/>
      </w:rPr>
    </w:lvl>
    <w:lvl w:ilvl="1" w:tplc="5814618E">
      <w:start w:val="1"/>
      <w:numFmt w:val="decimal"/>
      <w:lvlText w:val=""/>
      <w:lvlJc w:val="left"/>
    </w:lvl>
    <w:lvl w:ilvl="2" w:tplc="103420CE">
      <w:start w:val="1"/>
      <w:numFmt w:val="decimal"/>
      <w:lvlText w:val=""/>
      <w:lvlJc w:val="left"/>
    </w:lvl>
    <w:lvl w:ilvl="3" w:tplc="EA7404F0">
      <w:start w:val="1"/>
      <w:numFmt w:val="decimal"/>
      <w:lvlText w:val=""/>
      <w:lvlJc w:val="left"/>
    </w:lvl>
    <w:lvl w:ilvl="4" w:tplc="C9289D3A">
      <w:start w:val="1"/>
      <w:numFmt w:val="decimal"/>
      <w:lvlText w:val=""/>
      <w:lvlJc w:val="left"/>
    </w:lvl>
    <w:lvl w:ilvl="5" w:tplc="1F9CEEA8">
      <w:start w:val="1"/>
      <w:numFmt w:val="decimal"/>
      <w:lvlText w:val=""/>
      <w:lvlJc w:val="left"/>
    </w:lvl>
    <w:lvl w:ilvl="6" w:tplc="3AE8258A">
      <w:start w:val="1"/>
      <w:numFmt w:val="decimal"/>
      <w:lvlText w:val=""/>
      <w:lvlJc w:val="left"/>
    </w:lvl>
    <w:lvl w:ilvl="7" w:tplc="6F66375E">
      <w:start w:val="1"/>
      <w:numFmt w:val="decimal"/>
      <w:lvlText w:val=""/>
      <w:lvlJc w:val="left"/>
    </w:lvl>
    <w:lvl w:ilvl="8" w:tplc="757C9CF6">
      <w:start w:val="1"/>
      <w:numFmt w:val="decimal"/>
      <w:lvlText w:val=""/>
      <w:lvlJc w:val="left"/>
    </w:lvl>
  </w:abstractNum>
  <w:abstractNum w:abstractNumId="7" w15:restartNumberingAfterBreak="0">
    <w:nsid w:val="6F252A44"/>
    <w:multiLevelType w:val="hybridMultilevel"/>
    <w:tmpl w:val="00000000"/>
    <w:lvl w:ilvl="0" w:tplc="45042CE4">
      <w:start w:val="1"/>
      <w:numFmt w:val="decimal"/>
      <w:pStyle w:val="20"/>
      <w:lvlText w:val="%1."/>
      <w:lvlJc w:val="left"/>
      <w:pPr>
        <w:ind w:left="720" w:hanging="360"/>
      </w:pPr>
    </w:lvl>
    <w:lvl w:ilvl="1" w:tplc="6E867204">
      <w:start w:val="1"/>
      <w:numFmt w:val="decimal"/>
      <w:lvlText w:val=""/>
      <w:lvlJc w:val="left"/>
    </w:lvl>
    <w:lvl w:ilvl="2" w:tplc="77FC76B2">
      <w:start w:val="1"/>
      <w:numFmt w:val="decimal"/>
      <w:lvlText w:val=""/>
      <w:lvlJc w:val="left"/>
    </w:lvl>
    <w:lvl w:ilvl="3" w:tplc="F65834B2">
      <w:start w:val="1"/>
      <w:numFmt w:val="decimal"/>
      <w:lvlText w:val=""/>
      <w:lvlJc w:val="left"/>
    </w:lvl>
    <w:lvl w:ilvl="4" w:tplc="0FE88B9C">
      <w:start w:val="1"/>
      <w:numFmt w:val="decimal"/>
      <w:lvlText w:val=""/>
      <w:lvlJc w:val="left"/>
    </w:lvl>
    <w:lvl w:ilvl="5" w:tplc="48C4F424">
      <w:start w:val="1"/>
      <w:numFmt w:val="decimal"/>
      <w:lvlText w:val=""/>
      <w:lvlJc w:val="left"/>
    </w:lvl>
    <w:lvl w:ilvl="6" w:tplc="905461C0">
      <w:start w:val="1"/>
      <w:numFmt w:val="decimal"/>
      <w:lvlText w:val=""/>
      <w:lvlJc w:val="left"/>
    </w:lvl>
    <w:lvl w:ilvl="7" w:tplc="90A8F0E2">
      <w:start w:val="1"/>
      <w:numFmt w:val="decimal"/>
      <w:lvlText w:val=""/>
      <w:lvlJc w:val="left"/>
    </w:lvl>
    <w:lvl w:ilvl="8" w:tplc="D4FC645C">
      <w:start w:val="1"/>
      <w:numFmt w:val="decimal"/>
      <w:lvlText w:val=""/>
      <w:lvlJc w:val="left"/>
    </w:lvl>
  </w:abstractNum>
  <w:abstractNum w:abstractNumId="8" w15:restartNumberingAfterBreak="0">
    <w:nsid w:val="73938725"/>
    <w:multiLevelType w:val="hybridMultilevel"/>
    <w:tmpl w:val="00000000"/>
    <w:lvl w:ilvl="0" w:tplc="F8BE4646">
      <w:start w:val="1"/>
      <w:numFmt w:val="bullet"/>
      <w:pStyle w:val="a0"/>
      <w:lvlText w:val=""/>
      <w:lvlJc w:val="left"/>
      <w:pPr>
        <w:ind w:left="360" w:hanging="360"/>
      </w:pPr>
      <w:rPr>
        <w:rFonts w:ascii="Symbol" w:eastAsia="Symbol" w:hAnsi="Symbol" w:cs="Symbol"/>
      </w:rPr>
    </w:lvl>
    <w:lvl w:ilvl="1" w:tplc="52B45442">
      <w:start w:val="1"/>
      <w:numFmt w:val="decimal"/>
      <w:lvlText w:val=""/>
      <w:lvlJc w:val="left"/>
    </w:lvl>
    <w:lvl w:ilvl="2" w:tplc="E39C98A2">
      <w:start w:val="1"/>
      <w:numFmt w:val="decimal"/>
      <w:lvlText w:val=""/>
      <w:lvlJc w:val="left"/>
    </w:lvl>
    <w:lvl w:ilvl="3" w:tplc="E556D522">
      <w:start w:val="1"/>
      <w:numFmt w:val="decimal"/>
      <w:lvlText w:val=""/>
      <w:lvlJc w:val="left"/>
    </w:lvl>
    <w:lvl w:ilvl="4" w:tplc="1AFC92FA">
      <w:start w:val="1"/>
      <w:numFmt w:val="decimal"/>
      <w:lvlText w:val=""/>
      <w:lvlJc w:val="left"/>
    </w:lvl>
    <w:lvl w:ilvl="5" w:tplc="E724D254">
      <w:start w:val="1"/>
      <w:numFmt w:val="decimal"/>
      <w:lvlText w:val=""/>
      <w:lvlJc w:val="left"/>
    </w:lvl>
    <w:lvl w:ilvl="6" w:tplc="7ADCC964">
      <w:start w:val="1"/>
      <w:numFmt w:val="decimal"/>
      <w:lvlText w:val=""/>
      <w:lvlJc w:val="left"/>
    </w:lvl>
    <w:lvl w:ilvl="7" w:tplc="BB1A7A12">
      <w:start w:val="1"/>
      <w:numFmt w:val="decimal"/>
      <w:lvlText w:val=""/>
      <w:lvlJc w:val="left"/>
    </w:lvl>
    <w:lvl w:ilvl="8" w:tplc="81E814E0">
      <w:start w:val="1"/>
      <w:numFmt w:val="decimal"/>
      <w:lvlText w:val=""/>
      <w:lvlJc w:val="left"/>
    </w:lvl>
  </w:abstractNum>
  <w:num w:numId="1" w16cid:durableId="1593590426">
    <w:abstractNumId w:val="4"/>
  </w:num>
  <w:num w:numId="2" w16cid:durableId="2068456402">
    <w:abstractNumId w:val="3"/>
  </w:num>
  <w:num w:numId="3" w16cid:durableId="1335494533">
    <w:abstractNumId w:val="5"/>
  </w:num>
  <w:num w:numId="4" w16cid:durableId="62416842">
    <w:abstractNumId w:val="7"/>
  </w:num>
  <w:num w:numId="5" w16cid:durableId="1879779851">
    <w:abstractNumId w:val="2"/>
  </w:num>
  <w:num w:numId="6" w16cid:durableId="1004667934">
    <w:abstractNumId w:val="6"/>
  </w:num>
  <w:num w:numId="7" w16cid:durableId="809248517">
    <w:abstractNumId w:val="1"/>
  </w:num>
  <w:num w:numId="8" w16cid:durableId="1640070274">
    <w:abstractNumId w:val="0"/>
  </w:num>
  <w:num w:numId="9" w16cid:durableId="20655170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504"/>
    <w:rsid w:val="000E1A2B"/>
    <w:rsid w:val="00193E53"/>
    <w:rsid w:val="002B2A2E"/>
    <w:rsid w:val="003F37B9"/>
    <w:rsid w:val="00605504"/>
    <w:rsid w:val="00622046"/>
    <w:rsid w:val="007B7EB3"/>
    <w:rsid w:val="0083014C"/>
    <w:rsid w:val="00C10AED"/>
    <w:rsid w:val="00E44FB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B0233"/>
  <w15:docId w15:val="{F07C1210-0A7F-43D1-9F63-91C0C036B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Arial" w:eastAsia="Arial" w:hAnsi="Arial" w:cs="Arial"/>
      <w:sz w:val="24"/>
    </w:rPr>
  </w:style>
  <w:style w:type="paragraph" w:styleId="1">
    <w:name w:val="heading 1"/>
    <w:basedOn w:val="a1"/>
    <w:next w:val="a1"/>
    <w:uiPriority w:val="9"/>
    <w:qFormat/>
    <w:pPr>
      <w:keepNext/>
      <w:keepLines/>
      <w:spacing w:before="480" w:after="0"/>
      <w:outlineLvl w:val="0"/>
    </w:pPr>
    <w:rPr>
      <w:rFonts w:ascii="Calibri" w:eastAsia="Calibri" w:hAnsi="Calibri" w:cs="Calibri"/>
      <w:b/>
      <w:color w:val="365F91"/>
      <w:sz w:val="28"/>
    </w:rPr>
  </w:style>
  <w:style w:type="paragraph" w:styleId="21">
    <w:name w:val="heading 2"/>
    <w:basedOn w:val="a1"/>
    <w:next w:val="a1"/>
    <w:uiPriority w:val="9"/>
    <w:unhideWhenUsed/>
    <w:qFormat/>
    <w:pPr>
      <w:keepNext/>
      <w:keepLines/>
      <w:spacing w:before="200" w:after="0"/>
      <w:outlineLvl w:val="1"/>
    </w:pPr>
    <w:rPr>
      <w:rFonts w:ascii="Calibri" w:eastAsia="Calibri" w:hAnsi="Calibri" w:cs="Calibri"/>
      <w:b/>
      <w:color w:val="4F81BD"/>
      <w:sz w:val="26"/>
    </w:rPr>
  </w:style>
  <w:style w:type="paragraph" w:styleId="31">
    <w:name w:val="heading 3"/>
    <w:basedOn w:val="a1"/>
    <w:next w:val="a1"/>
    <w:uiPriority w:val="9"/>
    <w:unhideWhenUsed/>
    <w:qFormat/>
    <w:pPr>
      <w:keepNext/>
      <w:keepLines/>
      <w:spacing w:before="200" w:after="0"/>
      <w:outlineLvl w:val="2"/>
    </w:pPr>
    <w:rPr>
      <w:rFonts w:ascii="Calibri" w:eastAsia="Calibri" w:hAnsi="Calibri" w:cs="Calibri"/>
      <w:b/>
      <w:color w:val="4F81BD"/>
    </w:rPr>
  </w:style>
  <w:style w:type="paragraph" w:styleId="4">
    <w:name w:val="heading 4"/>
    <w:basedOn w:val="a1"/>
    <w:next w:val="a1"/>
    <w:uiPriority w:val="9"/>
    <w:semiHidden/>
    <w:unhideWhenUsed/>
    <w:qFormat/>
    <w:pPr>
      <w:keepNext/>
      <w:keepLines/>
      <w:spacing w:before="200" w:after="0"/>
      <w:outlineLvl w:val="3"/>
    </w:pPr>
    <w:rPr>
      <w:rFonts w:ascii="Calibri" w:eastAsia="Calibri" w:hAnsi="Calibri" w:cs="Calibri"/>
      <w:b/>
      <w:i/>
      <w:color w:val="4F81BD"/>
    </w:rPr>
  </w:style>
  <w:style w:type="paragraph" w:styleId="5">
    <w:name w:val="heading 5"/>
    <w:basedOn w:val="a1"/>
    <w:next w:val="a1"/>
    <w:uiPriority w:val="9"/>
    <w:semiHidden/>
    <w:unhideWhenUsed/>
    <w:qFormat/>
    <w:pPr>
      <w:keepNext/>
      <w:keepLines/>
      <w:spacing w:before="200" w:after="0"/>
      <w:outlineLvl w:val="4"/>
    </w:pPr>
    <w:rPr>
      <w:rFonts w:ascii="Calibri" w:eastAsia="Calibri" w:hAnsi="Calibri" w:cs="Calibri"/>
      <w:color w:val="243F60"/>
    </w:rPr>
  </w:style>
  <w:style w:type="paragraph" w:styleId="6">
    <w:name w:val="heading 6"/>
    <w:basedOn w:val="a1"/>
    <w:next w:val="a1"/>
    <w:uiPriority w:val="9"/>
    <w:semiHidden/>
    <w:unhideWhenUsed/>
    <w:qFormat/>
    <w:pPr>
      <w:keepNext/>
      <w:keepLines/>
      <w:spacing w:before="200" w:after="0"/>
      <w:outlineLvl w:val="5"/>
    </w:pPr>
    <w:rPr>
      <w:rFonts w:ascii="Calibri" w:eastAsia="Calibri" w:hAnsi="Calibri" w:cs="Calibri"/>
      <w:i/>
      <w:color w:val="243F60"/>
    </w:rPr>
  </w:style>
  <w:style w:type="paragraph" w:styleId="7">
    <w:name w:val="heading 7"/>
    <w:basedOn w:val="a1"/>
    <w:next w:val="a1"/>
    <w:uiPriority w:val="9"/>
    <w:semiHidden/>
    <w:unhideWhenUsed/>
    <w:qFormat/>
    <w:pPr>
      <w:keepNext/>
      <w:keepLines/>
      <w:spacing w:before="200" w:after="0"/>
      <w:outlineLvl w:val="6"/>
    </w:pPr>
    <w:rPr>
      <w:rFonts w:ascii="Calibri" w:eastAsia="Calibri" w:hAnsi="Calibri" w:cs="Calibri"/>
      <w:i/>
      <w:color w:val="404040"/>
    </w:rPr>
  </w:style>
  <w:style w:type="paragraph" w:styleId="8">
    <w:name w:val="heading 8"/>
    <w:basedOn w:val="a1"/>
    <w:next w:val="a1"/>
    <w:uiPriority w:val="9"/>
    <w:semiHidden/>
    <w:unhideWhenUsed/>
    <w:qFormat/>
    <w:pPr>
      <w:keepNext/>
      <w:keepLines/>
      <w:spacing w:before="200" w:after="0"/>
      <w:outlineLvl w:val="7"/>
    </w:pPr>
    <w:rPr>
      <w:rFonts w:ascii="Calibri" w:eastAsia="Calibri" w:hAnsi="Calibri" w:cs="Calibri"/>
      <w:color w:val="4F81BD"/>
      <w:sz w:val="20"/>
    </w:rPr>
  </w:style>
  <w:style w:type="paragraph" w:styleId="9">
    <w:name w:val="heading 9"/>
    <w:basedOn w:val="a1"/>
    <w:next w:val="a1"/>
    <w:uiPriority w:val="9"/>
    <w:semiHidden/>
    <w:unhideWhenUsed/>
    <w:qFormat/>
    <w:pPr>
      <w:keepNext/>
      <w:keepLines/>
      <w:spacing w:before="200" w:after="0"/>
      <w:outlineLvl w:val="8"/>
    </w:pPr>
    <w:rPr>
      <w:rFonts w:ascii="Calibri" w:eastAsia="Calibri" w:hAnsi="Calibri" w:cs="Calibri"/>
      <w:i/>
      <w:color w:val="404040"/>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pPr>
      <w:spacing w:after="0" w:line="240" w:lineRule="auto"/>
    </w:pPr>
    <w:rPr>
      <w:rFonts w:ascii="Arial" w:eastAsia="Arial" w:hAnsi="Arial" w:cs="Arial"/>
    </w:rPr>
  </w:style>
  <w:style w:type="paragraph" w:styleId="a6">
    <w:name w:val="Title"/>
    <w:basedOn w:val="a1"/>
    <w:next w:val="a1"/>
    <w:uiPriority w:val="10"/>
    <w:qFormat/>
    <w:pPr>
      <w:pBdr>
        <w:bottom w:val="single" w:sz="8" w:space="4" w:color="4F81BD"/>
      </w:pBdr>
      <w:spacing w:after="300" w:line="240" w:lineRule="auto"/>
      <w:contextualSpacing/>
    </w:pPr>
    <w:rPr>
      <w:rFonts w:ascii="Calibri" w:eastAsia="Calibri" w:hAnsi="Calibri" w:cs="Calibri"/>
      <w:color w:val="17365D"/>
      <w:sz w:val="52"/>
    </w:rPr>
  </w:style>
  <w:style w:type="paragraph" w:styleId="a7">
    <w:name w:val="Subtitle"/>
    <w:basedOn w:val="a1"/>
    <w:next w:val="a1"/>
    <w:uiPriority w:val="11"/>
    <w:qFormat/>
    <w:rPr>
      <w:rFonts w:ascii="Calibri" w:eastAsia="Calibri" w:hAnsi="Calibri" w:cs="Calibri"/>
      <w:i/>
      <w:color w:val="4F81BD"/>
    </w:rPr>
  </w:style>
  <w:style w:type="paragraph" w:customStyle="1" w:styleId="Abstract">
    <w:name w:val="Abstract"/>
    <w:basedOn w:val="a1"/>
    <w:uiPriority w:val="16"/>
    <w:semiHidden/>
    <w:unhideWhenUsed/>
    <w:pPr>
      <w:spacing w:after="160" w:line="360" w:lineRule="auto"/>
      <w:ind w:left="1440" w:right="1440"/>
      <w:jc w:val="both"/>
    </w:pPr>
    <w:rPr>
      <w:rFonts w:ascii="Calibri" w:eastAsia="Calibri" w:hAnsi="Calibri" w:cs="Calibri"/>
      <w:sz w:val="22"/>
    </w:rPr>
  </w:style>
  <w:style w:type="paragraph" w:customStyle="1" w:styleId="AbstractSubheading">
    <w:name w:val="Abstract Subheading"/>
    <w:basedOn w:val="a1"/>
    <w:next w:val="a1"/>
    <w:uiPriority w:val="16"/>
    <w:semiHidden/>
    <w:unhideWhenUsed/>
    <w:pPr>
      <w:keepNext/>
      <w:keepLines/>
      <w:numPr>
        <w:ilvl w:val="8"/>
      </w:numPr>
      <w:ind w:left="1440"/>
      <w:outlineLvl w:val="8"/>
    </w:pPr>
    <w:rPr>
      <w:sz w:val="22"/>
    </w:rPr>
  </w:style>
  <w:style w:type="paragraph" w:customStyle="1" w:styleId="Acknowledgements">
    <w:name w:val="Acknowledgements"/>
    <w:basedOn w:val="a1"/>
    <w:uiPriority w:val="16"/>
    <w:semiHidden/>
    <w:unhideWhenUsed/>
    <w:pPr>
      <w:shd w:val="clear" w:color="auto" w:fill="F9EDFF"/>
      <w:spacing w:after="160" w:line="396" w:lineRule="auto"/>
      <w:jc w:val="both"/>
    </w:pPr>
    <w:rPr>
      <w:rFonts w:ascii="Calibri" w:eastAsia="Calibri" w:hAnsi="Calibri" w:cs="Calibri"/>
      <w:sz w:val="20"/>
    </w:rPr>
  </w:style>
  <w:style w:type="paragraph" w:customStyle="1" w:styleId="Affiliation">
    <w:name w:val="Affiliation"/>
    <w:basedOn w:val="a1"/>
    <w:uiPriority w:val="16"/>
    <w:semiHidden/>
    <w:unhideWhenUsed/>
    <w:pPr>
      <w:shd w:val="clear" w:color="auto" w:fill="F4FFED"/>
      <w:spacing w:before="240" w:after="120" w:line="396" w:lineRule="auto"/>
      <w:ind w:left="400" w:hanging="400"/>
    </w:pPr>
    <w:rPr>
      <w:rFonts w:ascii="Calibri" w:eastAsia="Calibri" w:hAnsi="Calibri" w:cs="Calibri"/>
      <w:sz w:val="20"/>
    </w:rPr>
  </w:style>
  <w:style w:type="paragraph" w:customStyle="1" w:styleId="Annotation">
    <w:name w:val="Annotation"/>
    <w:basedOn w:val="a1"/>
    <w:uiPriority w:val="16"/>
    <w:semiHidden/>
    <w:unhideWhenUsed/>
    <w:pPr>
      <w:spacing w:after="160" w:line="360" w:lineRule="auto"/>
      <w:ind w:left="400"/>
    </w:pPr>
    <w:rPr>
      <w:rFonts w:ascii="Calibri" w:eastAsia="Calibri" w:hAnsi="Calibri" w:cs="Calibri"/>
      <w:sz w:val="22"/>
    </w:rPr>
  </w:style>
  <w:style w:type="paragraph" w:customStyle="1" w:styleId="Authors">
    <w:name w:val="Authors"/>
    <w:basedOn w:val="a1"/>
    <w:uiPriority w:val="16"/>
    <w:semiHidden/>
    <w:unhideWhenUsed/>
    <w:pPr>
      <w:spacing w:before="360" w:after="120" w:line="283" w:lineRule="auto"/>
    </w:pPr>
    <w:rPr>
      <w:rFonts w:ascii="Calibri" w:eastAsia="Calibri" w:hAnsi="Calibri" w:cs="Calibri"/>
      <w:sz w:val="28"/>
    </w:rPr>
  </w:style>
  <w:style w:type="paragraph" w:customStyle="1" w:styleId="Biography">
    <w:name w:val="Biography"/>
    <w:basedOn w:val="a1"/>
    <w:uiPriority w:val="16"/>
    <w:semiHidden/>
    <w:unhideWhenUsed/>
    <w:pPr>
      <w:shd w:val="clear" w:color="auto" w:fill="EEFEF4"/>
      <w:spacing w:after="160" w:line="396" w:lineRule="auto"/>
    </w:pPr>
    <w:rPr>
      <w:rFonts w:ascii="Calibri" w:eastAsia="Calibri" w:hAnsi="Calibri" w:cs="Calibri"/>
      <w:sz w:val="20"/>
    </w:rPr>
  </w:style>
  <w:style w:type="paragraph" w:styleId="a8">
    <w:name w:val="Block Text"/>
    <w:basedOn w:val="a1"/>
    <w:uiPriority w:val="16"/>
    <w:semiHidden/>
    <w:unhideWhenUsed/>
    <w:pPr>
      <w:spacing w:after="160" w:line="360" w:lineRule="auto"/>
      <w:ind w:left="1200"/>
    </w:pPr>
    <w:rPr>
      <w:rFonts w:ascii="Calibri" w:eastAsia="Calibri" w:hAnsi="Calibri" w:cs="Calibri"/>
      <w:sz w:val="22"/>
    </w:rPr>
  </w:style>
  <w:style w:type="paragraph" w:customStyle="1" w:styleId="ChapterNumber">
    <w:name w:val="Chapter Number"/>
    <w:basedOn w:val="a1"/>
    <w:uiPriority w:val="16"/>
    <w:semiHidden/>
    <w:unhideWhenUsed/>
    <w:rPr>
      <w:rFonts w:ascii="Calibri" w:eastAsia="Calibri" w:hAnsi="Calibri" w:cs="Calibri"/>
    </w:rPr>
  </w:style>
  <w:style w:type="paragraph" w:customStyle="1" w:styleId="Copyright">
    <w:name w:val="Copyright"/>
    <w:basedOn w:val="a1"/>
    <w:uiPriority w:val="16"/>
    <w:semiHidden/>
    <w:unhideWhenUsed/>
    <w:pPr>
      <w:shd w:val="clear" w:color="auto" w:fill="E9F9FF"/>
    </w:pPr>
    <w:rPr>
      <w:rFonts w:ascii="Calibri" w:eastAsia="Calibri" w:hAnsi="Calibri" w:cs="Calibri"/>
      <w:sz w:val="18"/>
    </w:rPr>
  </w:style>
  <w:style w:type="paragraph" w:customStyle="1" w:styleId="Correspondence">
    <w:name w:val="Correspondence"/>
    <w:basedOn w:val="a1"/>
    <w:uiPriority w:val="16"/>
    <w:semiHidden/>
    <w:unhideWhenUsed/>
    <w:pPr>
      <w:shd w:val="clear" w:color="auto" w:fill="F3F7F9"/>
      <w:spacing w:before="240" w:after="120" w:line="396" w:lineRule="auto"/>
      <w:ind w:left="400" w:hanging="400"/>
    </w:pPr>
    <w:rPr>
      <w:rFonts w:ascii="Calibri" w:eastAsia="Calibri" w:hAnsi="Calibri" w:cs="Calibri"/>
      <w:sz w:val="20"/>
    </w:rPr>
  </w:style>
  <w:style w:type="paragraph" w:customStyle="1" w:styleId="Formula">
    <w:name w:val="Formula"/>
    <w:basedOn w:val="a1"/>
    <w:uiPriority w:val="16"/>
    <w:semiHidden/>
    <w:unhideWhenUsed/>
    <w:pPr>
      <w:shd w:val="clear" w:color="auto" w:fill="FFF5ED"/>
      <w:spacing w:before="120" w:after="120" w:line="360" w:lineRule="auto"/>
    </w:pPr>
    <w:rPr>
      <w:rFonts w:ascii="Calibri" w:eastAsia="Calibri" w:hAnsi="Calibri" w:cs="Calibri"/>
      <w:sz w:val="22"/>
    </w:rPr>
  </w:style>
  <w:style w:type="paragraph" w:customStyle="1" w:styleId="Glossary">
    <w:name w:val="Glossary"/>
    <w:basedOn w:val="a1"/>
    <w:uiPriority w:val="16"/>
    <w:semiHidden/>
    <w:unhideWhenUsed/>
    <w:pPr>
      <w:shd w:val="clear" w:color="auto" w:fill="FFEDF0"/>
      <w:spacing w:before="120" w:after="120" w:line="432" w:lineRule="auto"/>
    </w:pPr>
    <w:rPr>
      <w:rFonts w:ascii="Calibri" w:eastAsia="Calibri" w:hAnsi="Calibri" w:cs="Calibri"/>
      <w:sz w:val="20"/>
    </w:rPr>
  </w:style>
  <w:style w:type="paragraph" w:customStyle="1" w:styleId="Keywords">
    <w:name w:val="Keywords"/>
    <w:basedOn w:val="a1"/>
    <w:uiPriority w:val="16"/>
    <w:semiHidden/>
    <w:unhideWhenUsed/>
    <w:pPr>
      <w:spacing w:line="396" w:lineRule="auto"/>
      <w:ind w:left="1000"/>
    </w:pPr>
    <w:rPr>
      <w:rFonts w:ascii="Calibri" w:eastAsia="Calibri" w:hAnsi="Calibri" w:cs="Calibri"/>
      <w:sz w:val="20"/>
    </w:rPr>
  </w:style>
  <w:style w:type="paragraph" w:customStyle="1" w:styleId="Note">
    <w:name w:val="Note"/>
    <w:basedOn w:val="a1"/>
    <w:uiPriority w:val="16"/>
    <w:semiHidden/>
    <w:unhideWhenUsed/>
    <w:pPr>
      <w:shd w:val="clear" w:color="auto" w:fill="EDF0FF"/>
      <w:spacing w:line="432" w:lineRule="auto"/>
    </w:pPr>
    <w:rPr>
      <w:rFonts w:ascii="Calibri" w:eastAsia="Calibri" w:hAnsi="Calibri" w:cs="Calibri"/>
      <w:sz w:val="20"/>
    </w:rPr>
  </w:style>
  <w:style w:type="paragraph" w:customStyle="1" w:styleId="Quotation">
    <w:name w:val="Quotation"/>
    <w:basedOn w:val="a1"/>
    <w:uiPriority w:val="16"/>
    <w:semiHidden/>
    <w:unhideWhenUsed/>
    <w:pPr>
      <w:spacing w:after="160" w:line="360" w:lineRule="auto"/>
      <w:ind w:left="1200" w:right="1200"/>
      <w:jc w:val="both"/>
    </w:pPr>
    <w:rPr>
      <w:rFonts w:ascii="Calibri" w:eastAsia="Calibri" w:hAnsi="Calibri" w:cs="Calibri"/>
      <w:sz w:val="22"/>
    </w:rPr>
  </w:style>
  <w:style w:type="paragraph" w:customStyle="1" w:styleId="QuotationSource">
    <w:name w:val="Quotation Source"/>
    <w:basedOn w:val="a1"/>
    <w:uiPriority w:val="16"/>
    <w:semiHidden/>
    <w:unhideWhenUsed/>
    <w:pPr>
      <w:spacing w:after="170" w:line="360" w:lineRule="auto"/>
      <w:ind w:left="1200"/>
      <w:jc w:val="right"/>
    </w:pPr>
    <w:rPr>
      <w:rFonts w:ascii="Calibri" w:eastAsia="Calibri" w:hAnsi="Calibri" w:cs="Calibri"/>
      <w:sz w:val="22"/>
    </w:rPr>
  </w:style>
  <w:style w:type="paragraph" w:customStyle="1" w:styleId="Reference">
    <w:name w:val="Reference"/>
    <w:basedOn w:val="a1"/>
    <w:uiPriority w:val="16"/>
    <w:semiHidden/>
    <w:unhideWhenUsed/>
    <w:pPr>
      <w:spacing w:after="320" w:line="360" w:lineRule="auto"/>
      <w:ind w:left="400" w:hanging="400"/>
      <w:jc w:val="both"/>
    </w:pPr>
    <w:rPr>
      <w:rFonts w:ascii="Calibri" w:eastAsia="Calibri" w:hAnsi="Calibri" w:cs="Calibri"/>
      <w:sz w:val="22"/>
    </w:rPr>
  </w:style>
  <w:style w:type="paragraph" w:customStyle="1" w:styleId="Statement">
    <w:name w:val="Statement"/>
    <w:basedOn w:val="a1"/>
    <w:uiPriority w:val="16"/>
    <w:semiHidden/>
    <w:unhideWhenUsed/>
    <w:pPr>
      <w:ind w:left="900"/>
    </w:pPr>
    <w:rPr>
      <w:rFonts w:ascii="Calibri" w:eastAsia="Calibri" w:hAnsi="Calibri" w:cs="Calibri"/>
      <w:sz w:val="22"/>
    </w:rPr>
  </w:style>
  <w:style w:type="paragraph" w:customStyle="1" w:styleId="Surtitle">
    <w:name w:val="Surtitle"/>
    <w:basedOn w:val="a1"/>
    <w:uiPriority w:val="16"/>
    <w:semiHidden/>
    <w:unhideWhenUsed/>
    <w:pPr>
      <w:spacing w:after="160" w:line="208" w:lineRule="auto"/>
    </w:pPr>
    <w:rPr>
      <w:rFonts w:ascii="Calibri" w:eastAsia="Calibri" w:hAnsi="Calibri" w:cs="Calibri"/>
      <w:sz w:val="38"/>
    </w:rPr>
  </w:style>
  <w:style w:type="paragraph" w:customStyle="1" w:styleId="TableBody">
    <w:name w:val="Table Body"/>
    <w:basedOn w:val="a1"/>
    <w:uiPriority w:val="16"/>
    <w:semiHidden/>
    <w:unhideWhenUsed/>
    <w:pPr>
      <w:spacing w:after="160" w:line="396" w:lineRule="auto"/>
    </w:pPr>
    <w:rPr>
      <w:rFonts w:ascii="Calibri" w:eastAsia="Calibri" w:hAnsi="Calibri" w:cs="Calibri"/>
      <w:sz w:val="20"/>
    </w:rPr>
  </w:style>
  <w:style w:type="paragraph" w:customStyle="1" w:styleId="TableHead">
    <w:name w:val="Table Head"/>
    <w:basedOn w:val="a1"/>
    <w:uiPriority w:val="16"/>
    <w:semiHidden/>
    <w:unhideWhenUsed/>
    <w:pPr>
      <w:shd w:val="clear" w:color="auto" w:fill="FFEDFA"/>
    </w:pPr>
    <w:rPr>
      <w:rFonts w:ascii="Calibri" w:eastAsia="Calibri" w:hAnsi="Calibri" w:cs="Calibri"/>
      <w:sz w:val="20"/>
    </w:rPr>
  </w:style>
  <w:style w:type="paragraph" w:customStyle="1" w:styleId="TableList">
    <w:name w:val="Table List"/>
    <w:basedOn w:val="a1"/>
    <w:uiPriority w:val="16"/>
    <w:semiHidden/>
    <w:unhideWhenUsed/>
    <w:pPr>
      <w:ind w:left="300" w:hanging="300"/>
    </w:pPr>
    <w:rPr>
      <w:sz w:val="20"/>
    </w:rPr>
  </w:style>
  <w:style w:type="paragraph" w:customStyle="1" w:styleId="TableNote">
    <w:name w:val="Table Note"/>
    <w:basedOn w:val="a1"/>
    <w:uiPriority w:val="16"/>
    <w:semiHidden/>
    <w:unhideWhenUsed/>
    <w:rPr>
      <w:rFonts w:ascii="Calibri" w:eastAsia="Calibri" w:hAnsi="Calibri" w:cs="Calibri"/>
      <w:sz w:val="18"/>
    </w:rPr>
  </w:style>
  <w:style w:type="character" w:customStyle="1" w:styleId="ArticleTitle">
    <w:name w:val="Article Title"/>
    <w:basedOn w:val="a2"/>
    <w:uiPriority w:val="17"/>
    <w:semiHidden/>
    <w:unhideWhenUsed/>
    <w:rPr>
      <w:shd w:val="clear" w:color="auto" w:fill="E9F9FF"/>
    </w:rPr>
  </w:style>
  <w:style w:type="character" w:customStyle="1" w:styleId="City">
    <w:name w:val="City"/>
    <w:basedOn w:val="a2"/>
    <w:uiPriority w:val="17"/>
    <w:semiHidden/>
    <w:unhideWhenUsed/>
    <w:rPr>
      <w:shd w:val="clear" w:color="auto" w:fill="D7D7D7"/>
    </w:rPr>
  </w:style>
  <w:style w:type="character" w:customStyle="1" w:styleId="Conference">
    <w:name w:val="Conference"/>
    <w:basedOn w:val="a2"/>
    <w:uiPriority w:val="17"/>
    <w:semiHidden/>
    <w:unhideWhenUsed/>
    <w:rPr>
      <w:shd w:val="clear" w:color="auto" w:fill="FFAFBC"/>
    </w:rPr>
  </w:style>
  <w:style w:type="character" w:customStyle="1" w:styleId="Country">
    <w:name w:val="Country"/>
    <w:basedOn w:val="a2"/>
    <w:uiPriority w:val="17"/>
    <w:semiHidden/>
    <w:unhideWhenUsed/>
    <w:rPr>
      <w:shd w:val="clear" w:color="auto" w:fill="97C5D1"/>
    </w:rPr>
  </w:style>
  <w:style w:type="character" w:customStyle="1" w:styleId="Cross-reference">
    <w:name w:val="Cross-reference"/>
    <w:basedOn w:val="a2"/>
    <w:uiPriority w:val="17"/>
    <w:semiHidden/>
    <w:unhideWhenUsed/>
    <w:rPr>
      <w:shd w:val="clear" w:color="auto" w:fill="FFE3C9"/>
    </w:rPr>
  </w:style>
  <w:style w:type="character" w:customStyle="1" w:styleId="DatabaseLink">
    <w:name w:val="Database Link"/>
    <w:basedOn w:val="a2"/>
    <w:uiPriority w:val="17"/>
    <w:semiHidden/>
    <w:unhideWhenUsed/>
    <w:rPr>
      <w:shd w:val="clear" w:color="auto" w:fill="AFBEFF"/>
    </w:rPr>
  </w:style>
  <w:style w:type="character" w:customStyle="1" w:styleId="Edition">
    <w:name w:val="Edition"/>
    <w:basedOn w:val="a2"/>
    <w:uiPriority w:val="17"/>
    <w:semiHidden/>
    <w:unhideWhenUsed/>
    <w:rPr>
      <w:shd w:val="clear" w:color="auto" w:fill="FFF6A4"/>
    </w:rPr>
  </w:style>
  <w:style w:type="character" w:customStyle="1" w:styleId="FamilyName">
    <w:name w:val="Family Name"/>
    <w:basedOn w:val="a2"/>
    <w:uiPriority w:val="17"/>
    <w:semiHidden/>
    <w:unhideWhenUsed/>
    <w:rPr>
      <w:shd w:val="clear" w:color="auto" w:fill="88F4BE"/>
    </w:rPr>
  </w:style>
  <w:style w:type="character" w:customStyle="1" w:styleId="GeneSequence">
    <w:name w:val="Gene Sequence"/>
    <w:basedOn w:val="a2"/>
    <w:uiPriority w:val="17"/>
    <w:semiHidden/>
    <w:unhideWhenUsed/>
    <w:rPr>
      <w:shd w:val="clear" w:color="auto" w:fill="FFCDF2"/>
    </w:rPr>
  </w:style>
  <w:style w:type="character" w:customStyle="1" w:styleId="GivenName">
    <w:name w:val="Given Name"/>
    <w:basedOn w:val="a2"/>
    <w:uiPriority w:val="17"/>
    <w:semiHidden/>
    <w:unhideWhenUsed/>
    <w:rPr>
      <w:shd w:val="clear" w:color="auto" w:fill="D0FCE2"/>
    </w:rPr>
  </w:style>
  <w:style w:type="character" w:customStyle="1" w:styleId="GlossaryTerm">
    <w:name w:val="Glossary Term"/>
    <w:basedOn w:val="a2"/>
    <w:uiPriority w:val="17"/>
    <w:semiHidden/>
    <w:unhideWhenUsed/>
    <w:rPr>
      <w:shd w:val="clear" w:color="auto" w:fill="FFCFD7"/>
    </w:rPr>
  </w:style>
  <w:style w:type="character" w:customStyle="1" w:styleId="GrantID">
    <w:name w:val="Grant ID"/>
    <w:basedOn w:val="a2"/>
    <w:uiPriority w:val="17"/>
    <w:semiHidden/>
    <w:unhideWhenUsed/>
    <w:rPr>
      <w:shd w:val="clear" w:color="auto" w:fill="DDA5FF"/>
    </w:rPr>
  </w:style>
  <w:style w:type="character" w:customStyle="1" w:styleId="Heading">
    <w:name w:val="Heading:"/>
    <w:basedOn w:val="a2"/>
    <w:uiPriority w:val="17"/>
    <w:semiHidden/>
    <w:unhideWhenUsed/>
    <w:rPr>
      <w:color w:val="5B89C1"/>
    </w:rPr>
  </w:style>
  <w:style w:type="character" w:styleId="a9">
    <w:name w:val="Hyperlink"/>
    <w:basedOn w:val="a2"/>
    <w:uiPriority w:val="17"/>
    <w:semiHidden/>
    <w:unhideWhenUsed/>
    <w:rPr>
      <w:color w:val="0563C1"/>
    </w:rPr>
  </w:style>
  <w:style w:type="character" w:customStyle="1" w:styleId="IssueNumber">
    <w:name w:val="Issue Number"/>
    <w:basedOn w:val="a2"/>
    <w:uiPriority w:val="17"/>
    <w:semiHidden/>
    <w:unhideWhenUsed/>
    <w:rPr>
      <w:shd w:val="clear" w:color="auto" w:fill="CDD5FF"/>
    </w:rPr>
  </w:style>
  <w:style w:type="character" w:customStyle="1" w:styleId="Label">
    <w:name w:val="Label"/>
    <w:basedOn w:val="a2"/>
    <w:uiPriority w:val="17"/>
    <w:semiHidden/>
    <w:unhideWhenUsed/>
    <w:rPr>
      <w:shd w:val="clear" w:color="auto" w:fill="FFC391"/>
      <w:vertAlign w:val="baseline"/>
    </w:rPr>
  </w:style>
  <w:style w:type="character" w:customStyle="1" w:styleId="Location">
    <w:name w:val="Location"/>
    <w:basedOn w:val="a2"/>
    <w:uiPriority w:val="17"/>
    <w:semiHidden/>
    <w:unhideWhenUsed/>
    <w:rPr>
      <w:shd w:val="clear" w:color="auto" w:fill="F9EDFF"/>
    </w:rPr>
  </w:style>
  <w:style w:type="character" w:customStyle="1" w:styleId="Miscellaneous">
    <w:name w:val="Miscellaneous"/>
    <w:basedOn w:val="a2"/>
    <w:uiPriority w:val="17"/>
    <w:semiHidden/>
    <w:unhideWhenUsed/>
    <w:rPr>
      <w:shd w:val="clear" w:color="auto" w:fill="F0F0F0"/>
    </w:rPr>
  </w:style>
  <w:style w:type="character" w:customStyle="1" w:styleId="NameScientific">
    <w:name w:val="Name Scientific"/>
    <w:basedOn w:val="a2"/>
    <w:uiPriority w:val="17"/>
    <w:semiHidden/>
    <w:unhideWhenUsed/>
    <w:rPr>
      <w:shd w:val="clear" w:color="auto" w:fill="91E0FF"/>
    </w:rPr>
  </w:style>
  <w:style w:type="character" w:customStyle="1" w:styleId="Organization">
    <w:name w:val="Organization"/>
    <w:basedOn w:val="a2"/>
    <w:uiPriority w:val="17"/>
    <w:semiHidden/>
    <w:unhideWhenUsed/>
    <w:rPr>
      <w:shd w:val="clear" w:color="auto" w:fill="D1FFB5"/>
    </w:rPr>
  </w:style>
  <w:style w:type="character" w:customStyle="1" w:styleId="PageNumbers">
    <w:name w:val="Page Numbers"/>
    <w:basedOn w:val="a2"/>
    <w:uiPriority w:val="17"/>
    <w:semiHidden/>
    <w:unhideWhenUsed/>
    <w:rPr>
      <w:shd w:val="clear" w:color="auto" w:fill="FFEDF0"/>
    </w:rPr>
  </w:style>
  <w:style w:type="character" w:customStyle="1" w:styleId="Postcode">
    <w:name w:val="Postcode"/>
    <w:basedOn w:val="a2"/>
    <w:uiPriority w:val="17"/>
    <w:semiHidden/>
    <w:unhideWhenUsed/>
    <w:rPr>
      <w:shd w:val="clear" w:color="auto" w:fill="BEBEBE"/>
    </w:rPr>
  </w:style>
  <w:style w:type="character" w:customStyle="1" w:styleId="Publisher">
    <w:name w:val="Publisher"/>
    <w:basedOn w:val="a2"/>
    <w:uiPriority w:val="17"/>
    <w:semiHidden/>
    <w:unhideWhenUsed/>
    <w:rPr>
      <w:shd w:val="clear" w:color="auto" w:fill="F2DDFF"/>
    </w:rPr>
  </w:style>
  <w:style w:type="character" w:customStyle="1" w:styleId="Region">
    <w:name w:val="Region"/>
    <w:basedOn w:val="a2"/>
    <w:uiPriority w:val="17"/>
    <w:semiHidden/>
    <w:unhideWhenUsed/>
    <w:rPr>
      <w:shd w:val="clear" w:color="auto" w:fill="D8E9EE"/>
    </w:rPr>
  </w:style>
  <w:style w:type="character" w:customStyle="1" w:styleId="Source">
    <w:name w:val="Source"/>
    <w:basedOn w:val="a2"/>
    <w:uiPriority w:val="17"/>
    <w:semiHidden/>
    <w:unhideWhenUsed/>
    <w:rPr>
      <w:shd w:val="clear" w:color="auto" w:fill="C1EDFF"/>
    </w:rPr>
  </w:style>
  <w:style w:type="character" w:customStyle="1" w:styleId="VolumeNumber">
    <w:name w:val="Volume Number"/>
    <w:basedOn w:val="a2"/>
    <w:uiPriority w:val="17"/>
    <w:semiHidden/>
    <w:unhideWhenUsed/>
    <w:rPr>
      <w:shd w:val="clear" w:color="auto" w:fill="EDF0FF"/>
    </w:rPr>
  </w:style>
  <w:style w:type="character" w:customStyle="1" w:styleId="Year">
    <w:name w:val="Year"/>
    <w:basedOn w:val="a2"/>
    <w:uiPriority w:val="17"/>
    <w:semiHidden/>
    <w:unhideWhenUsed/>
    <w:rPr>
      <w:shd w:val="clear" w:color="auto" w:fill="FFF9C9"/>
    </w:rPr>
  </w:style>
  <w:style w:type="character" w:styleId="aa">
    <w:name w:val="Subtle Emphasis"/>
    <w:basedOn w:val="a2"/>
    <w:uiPriority w:val="19"/>
    <w:qFormat/>
    <w:rPr>
      <w:rFonts w:ascii="Arial" w:eastAsia="Arial" w:hAnsi="Arial" w:cs="Arial"/>
      <w:i/>
      <w:color w:val="808080"/>
    </w:rPr>
  </w:style>
  <w:style w:type="character" w:styleId="ab">
    <w:name w:val="Emphasis"/>
    <w:basedOn w:val="a2"/>
    <w:uiPriority w:val="20"/>
    <w:qFormat/>
    <w:rPr>
      <w:rFonts w:ascii="Arial" w:eastAsia="Arial" w:hAnsi="Arial" w:cs="Arial"/>
      <w:i/>
    </w:rPr>
  </w:style>
  <w:style w:type="character" w:styleId="ac">
    <w:name w:val="Intense Emphasis"/>
    <w:basedOn w:val="a2"/>
    <w:uiPriority w:val="21"/>
    <w:qFormat/>
    <w:rPr>
      <w:rFonts w:ascii="Arial" w:eastAsia="Arial" w:hAnsi="Arial" w:cs="Arial"/>
      <w:b/>
      <w:i/>
      <w:color w:val="4F81BD"/>
    </w:rPr>
  </w:style>
  <w:style w:type="character" w:styleId="ad">
    <w:name w:val="Strong"/>
    <w:basedOn w:val="a2"/>
    <w:uiPriority w:val="22"/>
    <w:qFormat/>
    <w:rPr>
      <w:rFonts w:ascii="Arial" w:eastAsia="Arial" w:hAnsi="Arial" w:cs="Arial"/>
      <w:b/>
    </w:rPr>
  </w:style>
  <w:style w:type="paragraph" w:styleId="ae">
    <w:name w:val="Quote"/>
    <w:basedOn w:val="a1"/>
    <w:next w:val="a1"/>
    <w:uiPriority w:val="29"/>
    <w:qFormat/>
    <w:rPr>
      <w:i/>
      <w:color w:val="000000"/>
    </w:rPr>
  </w:style>
  <w:style w:type="paragraph" w:styleId="af">
    <w:name w:val="Intense Quote"/>
    <w:basedOn w:val="a1"/>
    <w:next w:val="a1"/>
    <w:uiPriority w:val="30"/>
    <w:qFormat/>
    <w:pPr>
      <w:pBdr>
        <w:bottom w:val="single" w:sz="4" w:space="4" w:color="4F81BD"/>
      </w:pBdr>
      <w:spacing w:before="200" w:after="280"/>
      <w:ind w:left="936" w:right="936"/>
    </w:pPr>
    <w:rPr>
      <w:b/>
      <w:i/>
      <w:color w:val="4F81BD"/>
    </w:rPr>
  </w:style>
  <w:style w:type="character" w:styleId="af0">
    <w:name w:val="Subtle Reference"/>
    <w:basedOn w:val="a2"/>
    <w:uiPriority w:val="31"/>
    <w:qFormat/>
    <w:rPr>
      <w:rFonts w:ascii="Arial" w:eastAsia="Arial" w:hAnsi="Arial" w:cs="Arial"/>
      <w:caps w:val="0"/>
      <w:smallCaps/>
      <w:color w:val="C0504D"/>
      <w:u w:val="single"/>
    </w:rPr>
  </w:style>
  <w:style w:type="character" w:styleId="af1">
    <w:name w:val="Intense Reference"/>
    <w:basedOn w:val="a2"/>
    <w:uiPriority w:val="32"/>
    <w:qFormat/>
    <w:rPr>
      <w:rFonts w:ascii="Arial" w:eastAsia="Arial" w:hAnsi="Arial" w:cs="Arial"/>
      <w:b/>
      <w:caps w:val="0"/>
      <w:smallCaps/>
      <w:color w:val="C0504D"/>
      <w:u w:val="single"/>
    </w:rPr>
  </w:style>
  <w:style w:type="character" w:styleId="af2">
    <w:name w:val="Book Title"/>
    <w:basedOn w:val="a2"/>
    <w:uiPriority w:val="33"/>
    <w:qFormat/>
    <w:rPr>
      <w:rFonts w:ascii="Arial" w:eastAsia="Arial" w:hAnsi="Arial" w:cs="Arial"/>
      <w:b/>
      <w:caps w:val="0"/>
      <w:smallCaps/>
    </w:rPr>
  </w:style>
  <w:style w:type="paragraph" w:styleId="af3">
    <w:name w:val="List Paragraph"/>
    <w:basedOn w:val="a1"/>
    <w:uiPriority w:val="34"/>
    <w:qFormat/>
    <w:pPr>
      <w:ind w:left="720"/>
      <w:contextualSpacing/>
    </w:pPr>
  </w:style>
  <w:style w:type="paragraph" w:styleId="af4">
    <w:name w:val="caption"/>
    <w:basedOn w:val="a1"/>
    <w:next w:val="a1"/>
    <w:uiPriority w:val="35"/>
    <w:semiHidden/>
    <w:unhideWhenUsed/>
    <w:qFormat/>
    <w:pPr>
      <w:spacing w:line="240" w:lineRule="auto"/>
    </w:pPr>
    <w:rPr>
      <w:b/>
      <w:color w:val="4F81BD"/>
      <w:sz w:val="18"/>
    </w:rPr>
  </w:style>
  <w:style w:type="paragraph" w:customStyle="1" w:styleId="TOC11">
    <w:name w:val="TOC 11"/>
    <w:basedOn w:val="a1"/>
    <w:uiPriority w:val="39"/>
    <w:semiHidden/>
    <w:unhideWhenUsed/>
    <w:pPr>
      <w:spacing w:line="305" w:lineRule="auto"/>
    </w:pPr>
    <w:rPr>
      <w:rFonts w:ascii="Calibri" w:eastAsia="Calibri" w:hAnsi="Calibri" w:cs="Calibri"/>
      <w:sz w:val="26"/>
    </w:rPr>
  </w:style>
  <w:style w:type="paragraph" w:customStyle="1" w:styleId="TOC21">
    <w:name w:val="TOC 21"/>
    <w:basedOn w:val="a1"/>
    <w:uiPriority w:val="39"/>
    <w:semiHidden/>
    <w:unhideWhenUsed/>
    <w:pPr>
      <w:spacing w:line="330" w:lineRule="auto"/>
    </w:pPr>
    <w:rPr>
      <w:rFonts w:ascii="Calibri" w:eastAsia="Calibri" w:hAnsi="Calibri" w:cs="Calibri"/>
    </w:rPr>
  </w:style>
  <w:style w:type="paragraph" w:customStyle="1" w:styleId="TOC31">
    <w:name w:val="TOC 31"/>
    <w:basedOn w:val="a1"/>
    <w:uiPriority w:val="39"/>
    <w:semiHidden/>
    <w:unhideWhenUsed/>
    <w:pPr>
      <w:spacing w:line="360" w:lineRule="auto"/>
    </w:pPr>
    <w:rPr>
      <w:rFonts w:ascii="Calibri" w:eastAsia="Calibri" w:hAnsi="Calibri" w:cs="Calibri"/>
      <w:sz w:val="22"/>
    </w:rPr>
  </w:style>
  <w:style w:type="paragraph" w:customStyle="1" w:styleId="TOC41">
    <w:name w:val="TOC 41"/>
    <w:basedOn w:val="a1"/>
    <w:uiPriority w:val="39"/>
    <w:semiHidden/>
    <w:unhideWhenUsed/>
    <w:pPr>
      <w:spacing w:line="330" w:lineRule="exact"/>
    </w:pPr>
    <w:rPr>
      <w:rFonts w:ascii="Calibri" w:eastAsia="Calibri" w:hAnsi="Calibri" w:cs="Calibri"/>
    </w:rPr>
  </w:style>
  <w:style w:type="paragraph" w:customStyle="1" w:styleId="TOC51">
    <w:name w:val="TOC 51"/>
    <w:basedOn w:val="a1"/>
    <w:uiPriority w:val="39"/>
    <w:semiHidden/>
    <w:unhideWhenUsed/>
    <w:pPr>
      <w:spacing w:line="330" w:lineRule="exact"/>
    </w:pPr>
    <w:rPr>
      <w:rFonts w:ascii="Calibri" w:eastAsia="Calibri" w:hAnsi="Calibri" w:cs="Calibri"/>
    </w:rPr>
  </w:style>
  <w:style w:type="paragraph" w:customStyle="1" w:styleId="TOC61">
    <w:name w:val="TOC 61"/>
    <w:basedOn w:val="a1"/>
    <w:uiPriority w:val="39"/>
    <w:semiHidden/>
    <w:unhideWhenUsed/>
    <w:pPr>
      <w:spacing w:line="330" w:lineRule="exact"/>
    </w:pPr>
    <w:rPr>
      <w:rFonts w:ascii="Calibri" w:eastAsia="Calibri" w:hAnsi="Calibri" w:cs="Calibri"/>
    </w:rPr>
  </w:style>
  <w:style w:type="paragraph" w:customStyle="1" w:styleId="TOC71">
    <w:name w:val="TOC 71"/>
    <w:basedOn w:val="a1"/>
    <w:uiPriority w:val="39"/>
    <w:semiHidden/>
    <w:unhideWhenUsed/>
    <w:pPr>
      <w:spacing w:line="330" w:lineRule="exact"/>
    </w:pPr>
    <w:rPr>
      <w:rFonts w:ascii="Calibri" w:eastAsia="Calibri" w:hAnsi="Calibri" w:cs="Calibri"/>
    </w:rPr>
  </w:style>
  <w:style w:type="paragraph" w:customStyle="1" w:styleId="TOC81">
    <w:name w:val="TOC 81"/>
    <w:basedOn w:val="a1"/>
    <w:uiPriority w:val="39"/>
    <w:semiHidden/>
    <w:unhideWhenUsed/>
    <w:pPr>
      <w:spacing w:line="330" w:lineRule="exact"/>
    </w:pPr>
    <w:rPr>
      <w:rFonts w:ascii="Calibri" w:eastAsia="Calibri" w:hAnsi="Calibri" w:cs="Calibri"/>
    </w:rPr>
  </w:style>
  <w:style w:type="paragraph" w:customStyle="1" w:styleId="TOC91">
    <w:name w:val="TOC 91"/>
    <w:basedOn w:val="a1"/>
    <w:uiPriority w:val="39"/>
    <w:semiHidden/>
    <w:unhideWhenUsed/>
    <w:pPr>
      <w:spacing w:line="330" w:lineRule="exact"/>
    </w:pPr>
    <w:rPr>
      <w:rFonts w:ascii="Calibri" w:eastAsia="Calibri" w:hAnsi="Calibri" w:cs="Calibri"/>
    </w:rPr>
  </w:style>
  <w:style w:type="paragraph" w:styleId="TOC">
    <w:name w:val="TOC Heading"/>
    <w:basedOn w:val="1"/>
    <w:next w:val="a1"/>
    <w:uiPriority w:val="39"/>
    <w:semiHidden/>
    <w:unhideWhenUsed/>
    <w:qFormat/>
    <w:pPr>
      <w:outlineLvl w:val="9"/>
    </w:pPr>
    <w:rPr>
      <w:rFonts w:ascii="Arial" w:eastAsia="Arial" w:hAnsi="Arial" w:cs="Arial"/>
    </w:rPr>
  </w:style>
  <w:style w:type="table" w:styleId="af5">
    <w:name w:val="Table Grid"/>
    <w:basedOn w:val="a3"/>
    <w:uiPriority w:val="59"/>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Light Shading"/>
    <w:basedOn w:val="a3"/>
    <w:uiPriority w:val="60"/>
    <w:pPr>
      <w:spacing w:after="0" w:line="240" w:lineRule="auto"/>
    </w:pPr>
    <w:rPr>
      <w:rFonts w:ascii="Arial" w:eastAsia="Arial" w:hAnsi="Arial"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3"/>
    <w:uiPriority w:val="60"/>
    <w:pPr>
      <w:spacing w:after="0" w:line="240" w:lineRule="auto"/>
    </w:pPr>
    <w:rPr>
      <w:rFonts w:ascii="Arial" w:eastAsia="Arial" w:hAnsi="Arial"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3"/>
    <w:uiPriority w:val="60"/>
    <w:pPr>
      <w:spacing w:after="0" w:line="240" w:lineRule="auto"/>
    </w:pPr>
    <w:rPr>
      <w:rFonts w:ascii="Arial" w:eastAsia="Arial" w:hAnsi="Arial"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rPr>
      <w:tblPr/>
      <w:tcPr>
        <w:tcBorders>
          <w:top w:val="single" w:sz="8" w:space="0" w:color="C0504D"/>
          <w:left w:val="nil"/>
          <w:bottom w:val="single" w:sz="8" w:space="0" w:color="C0504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3"/>
    <w:uiPriority w:val="60"/>
    <w:pPr>
      <w:spacing w:after="0" w:line="240" w:lineRule="auto"/>
    </w:pPr>
    <w:rPr>
      <w:rFonts w:ascii="Arial" w:eastAsia="Arial" w:hAnsi="Arial"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rPr>
      <w:tblPr/>
      <w:tcPr>
        <w:tcBorders>
          <w:top w:val="single" w:sz="8" w:space="0" w:color="9BBB59"/>
          <w:left w:val="nil"/>
          <w:bottom w:val="single" w:sz="8" w:space="0" w:color="9BBB59"/>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3"/>
    <w:uiPriority w:val="60"/>
    <w:pPr>
      <w:spacing w:after="0" w:line="240" w:lineRule="auto"/>
    </w:pPr>
    <w:rPr>
      <w:rFonts w:ascii="Arial" w:eastAsia="Arial" w:hAnsi="Arial"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rPr>
      <w:tblPr/>
      <w:tcPr>
        <w:tcBorders>
          <w:top w:val="single" w:sz="8" w:space="0" w:color="8064A2"/>
          <w:left w:val="nil"/>
          <w:bottom w:val="single" w:sz="8" w:space="0" w:color="8064A2"/>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
    <w:name w:val="Light Shading Accent 5"/>
    <w:basedOn w:val="a3"/>
    <w:uiPriority w:val="60"/>
    <w:pPr>
      <w:spacing w:after="0" w:line="240" w:lineRule="auto"/>
    </w:pPr>
    <w:rPr>
      <w:rFonts w:ascii="Arial" w:eastAsia="Arial" w:hAnsi="Arial"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rPr>
      <w:tblPr/>
      <w:tcPr>
        <w:tcBorders>
          <w:top w:val="single" w:sz="8" w:space="0" w:color="4BACC6"/>
          <w:left w:val="nil"/>
          <w:bottom w:val="single" w:sz="8" w:space="0" w:color="4BACC6"/>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
    <w:name w:val="Light Shading Accent 6"/>
    <w:basedOn w:val="a3"/>
    <w:uiPriority w:val="60"/>
    <w:pPr>
      <w:spacing w:after="0" w:line="240" w:lineRule="auto"/>
    </w:pPr>
    <w:rPr>
      <w:rFonts w:ascii="Arial" w:eastAsia="Arial" w:hAnsi="Arial" w:cs="Arial"/>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rPr>
      <w:tblPr/>
      <w:tcPr>
        <w:tcBorders>
          <w:top w:val="single" w:sz="8" w:space="0" w:color="F79646"/>
          <w:left w:val="nil"/>
          <w:bottom w:val="single" w:sz="8" w:space="0" w:color="F79646"/>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7">
    <w:name w:val="Light List"/>
    <w:basedOn w:val="a3"/>
    <w:uiPriority w:val="61"/>
    <w:pPr>
      <w:spacing w:after="0" w:line="240" w:lineRule="auto"/>
    </w:pPr>
    <w:rPr>
      <w:rFonts w:ascii="Arial" w:eastAsia="Arial" w:hAnsi="Arial"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doub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Light List Accent 1"/>
    <w:basedOn w:val="a3"/>
    <w:uiPriority w:val="61"/>
    <w:pPr>
      <w:spacing w:after="0" w:line="240" w:lineRule="auto"/>
    </w:pPr>
    <w:rPr>
      <w:rFonts w:ascii="Arial" w:eastAsia="Arial" w:hAnsi="Arial"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doub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0">
    <w:name w:val="Light List Accent 2"/>
    <w:basedOn w:val="a3"/>
    <w:uiPriority w:val="61"/>
    <w:pPr>
      <w:spacing w:after="0" w:line="240" w:lineRule="auto"/>
    </w:pPr>
    <w:rPr>
      <w:rFonts w:ascii="Arial" w:eastAsia="Arial" w:hAnsi="Arial" w:cs="Ari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color w:val="FFFFFF"/>
      </w:rPr>
      <w:tblPr/>
      <w:tcPr>
        <w:shd w:val="clear" w:color="auto" w:fill="C0504D"/>
      </w:tcPr>
    </w:tblStylePr>
    <w:tblStylePr w:type="lastRow">
      <w:pPr>
        <w:spacing w:before="0" w:after="0" w:line="240" w:lineRule="auto"/>
      </w:pPr>
      <w:rPr>
        <w:b/>
      </w:rPr>
      <w:tblPr/>
      <w:tcPr>
        <w:tcBorders>
          <w:top w:val="double" w:sz="6" w:space="0" w:color="C0504D"/>
          <w:left w:val="single" w:sz="8" w:space="0" w:color="C0504D"/>
          <w:bottom w:val="single" w:sz="8" w:space="0" w:color="C0504D"/>
          <w:right w:val="single" w:sz="8" w:space="0" w:color="C0504D"/>
        </w:tcBorders>
      </w:tcPr>
    </w:tblStylePr>
    <w:tblStylePr w:type="firstCol">
      <w:rPr>
        <w:b/>
      </w:rPr>
    </w:tblStylePr>
    <w:tblStylePr w:type="lastCol">
      <w:rPr>
        <w:b/>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3"/>
    <w:uiPriority w:val="61"/>
    <w:pPr>
      <w:spacing w:after="0" w:line="240" w:lineRule="auto"/>
    </w:pPr>
    <w:rPr>
      <w:rFonts w:ascii="Arial" w:eastAsia="Arial" w:hAnsi="Arial" w:cs="Ari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color w:val="FFFFFF"/>
      </w:rPr>
      <w:tblPr/>
      <w:tcPr>
        <w:shd w:val="clear" w:color="auto" w:fill="9BBB59"/>
      </w:tcPr>
    </w:tblStylePr>
    <w:tblStylePr w:type="lastRow">
      <w:pPr>
        <w:spacing w:before="0" w:after="0" w:line="240" w:lineRule="auto"/>
      </w:pPr>
      <w:rPr>
        <w:b/>
      </w:rPr>
      <w:tblPr/>
      <w:tcPr>
        <w:tcBorders>
          <w:top w:val="double" w:sz="6" w:space="0" w:color="9BBB59"/>
          <w:left w:val="single" w:sz="8" w:space="0" w:color="9BBB59"/>
          <w:bottom w:val="single" w:sz="8" w:space="0" w:color="9BBB59"/>
          <w:right w:val="single" w:sz="8" w:space="0" w:color="9BBB59"/>
        </w:tcBorders>
      </w:tcPr>
    </w:tblStylePr>
    <w:tblStylePr w:type="firstCol">
      <w:rPr>
        <w:b/>
      </w:rPr>
    </w:tblStylePr>
    <w:tblStylePr w:type="lastCol">
      <w:rPr>
        <w:b/>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0">
    <w:name w:val="Light List Accent 4"/>
    <w:basedOn w:val="a3"/>
    <w:uiPriority w:val="61"/>
    <w:pPr>
      <w:spacing w:after="0" w:line="240" w:lineRule="auto"/>
    </w:pPr>
    <w:rPr>
      <w:rFonts w:ascii="Arial" w:eastAsia="Arial" w:hAnsi="Arial"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color w:val="FFFFFF"/>
      </w:rPr>
      <w:tblPr/>
      <w:tcPr>
        <w:shd w:val="clear" w:color="auto" w:fill="8064A2"/>
      </w:tcPr>
    </w:tblStylePr>
    <w:tblStylePr w:type="lastRow">
      <w:pPr>
        <w:spacing w:before="0" w:after="0" w:line="240" w:lineRule="auto"/>
      </w:pPr>
      <w:rPr>
        <w:b/>
      </w:rPr>
      <w:tblPr/>
      <w:tcPr>
        <w:tcBorders>
          <w:top w:val="double" w:sz="6" w:space="0" w:color="8064A2"/>
          <w:left w:val="single" w:sz="8" w:space="0" w:color="8064A2"/>
          <w:bottom w:val="single" w:sz="8" w:space="0" w:color="8064A2"/>
          <w:right w:val="single" w:sz="8" w:space="0" w:color="8064A2"/>
        </w:tcBorders>
      </w:tcPr>
    </w:tblStylePr>
    <w:tblStylePr w:type="firstCol">
      <w:rPr>
        <w:b/>
      </w:rPr>
    </w:tblStylePr>
    <w:tblStylePr w:type="lastCol">
      <w:rPr>
        <w:b/>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0">
    <w:name w:val="Light List Accent 5"/>
    <w:basedOn w:val="a3"/>
    <w:uiPriority w:val="61"/>
    <w:pPr>
      <w:spacing w:after="0" w:line="240" w:lineRule="auto"/>
    </w:pPr>
    <w:rPr>
      <w:rFonts w:ascii="Arial" w:eastAsia="Arial" w:hAnsi="Arial"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doub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0">
    <w:name w:val="Light List Accent 6"/>
    <w:basedOn w:val="a3"/>
    <w:uiPriority w:val="61"/>
    <w:pPr>
      <w:spacing w:after="0" w:line="240" w:lineRule="auto"/>
    </w:pPr>
    <w:rPr>
      <w:rFonts w:ascii="Arial" w:eastAsia="Arial" w:hAnsi="Arial" w:cs="Arial"/>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color w:val="FFFFFF"/>
      </w:rPr>
      <w:tblPr/>
      <w:tcPr>
        <w:shd w:val="clear" w:color="auto" w:fill="F79646"/>
      </w:tcPr>
    </w:tblStylePr>
    <w:tblStylePr w:type="lastRow">
      <w:pPr>
        <w:spacing w:before="0" w:after="0" w:line="240" w:lineRule="auto"/>
      </w:pPr>
      <w:rPr>
        <w:b/>
      </w:rPr>
      <w:tblPr/>
      <w:tcPr>
        <w:tcBorders>
          <w:top w:val="double" w:sz="6" w:space="0" w:color="F79646"/>
          <w:left w:val="single" w:sz="8" w:space="0" w:color="F79646"/>
          <w:bottom w:val="single" w:sz="8" w:space="0" w:color="F79646"/>
          <w:right w:val="single" w:sz="8" w:space="0" w:color="F79646"/>
        </w:tcBorders>
      </w:tcPr>
    </w:tblStylePr>
    <w:tblStylePr w:type="firstCol">
      <w:rPr>
        <w:b/>
      </w:rPr>
    </w:tblStylePr>
    <w:tblStylePr w:type="lastCol">
      <w:rPr>
        <w:b/>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8">
    <w:name w:val="Light Grid"/>
    <w:basedOn w:val="a3"/>
    <w:uiPriority w:val="62"/>
    <w:pPr>
      <w:spacing w:after="0" w:line="240" w:lineRule="auto"/>
    </w:pPr>
    <w:rPr>
      <w:rFonts w:ascii="Arial" w:eastAsia="Arial" w:hAnsi="Arial"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Calibri" w:hAnsi="Calibri" w:cs="Calibri"/>
        <w:b/>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Calibri" w:hAnsi="Calibri" w:cs="Calibri"/>
        <w:b/>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1">
    <w:name w:val="Light Grid Accent 1"/>
    <w:basedOn w:val="a3"/>
    <w:uiPriority w:val="62"/>
    <w:pPr>
      <w:spacing w:after="0" w:line="240" w:lineRule="auto"/>
    </w:pPr>
    <w:rPr>
      <w:rFonts w:ascii="Arial" w:eastAsia="Arial" w:hAnsi="Arial"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Calibri" w:hAnsi="Calibri" w:cs="Calibri"/>
        <w:b/>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Calibri" w:hAnsi="Calibri" w:cs="Calibri"/>
        <w:b/>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1">
    <w:name w:val="Light Grid Accent 2"/>
    <w:basedOn w:val="a3"/>
    <w:uiPriority w:val="62"/>
    <w:pPr>
      <w:spacing w:after="0" w:line="240" w:lineRule="auto"/>
    </w:pPr>
    <w:rPr>
      <w:rFonts w:ascii="Arial" w:eastAsia="Arial" w:hAnsi="Arial"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Calibri" w:hAnsi="Calibri" w:cs="Calibri"/>
        <w:b/>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Calibri" w:hAnsi="Calibri" w:cs="Calibri"/>
        <w:b/>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1">
    <w:name w:val="Light Grid Accent 3"/>
    <w:basedOn w:val="a3"/>
    <w:uiPriority w:val="62"/>
    <w:pPr>
      <w:spacing w:after="0" w:line="240" w:lineRule="auto"/>
    </w:pPr>
    <w:rPr>
      <w:rFonts w:ascii="Arial" w:eastAsia="Arial" w:hAnsi="Arial"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Calibri" w:hAnsi="Calibri" w:cs="Calibri"/>
        <w:b/>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Calibri" w:hAnsi="Calibri" w:cs="Calibri"/>
        <w:b/>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62"/>
    <w:pPr>
      <w:spacing w:after="0" w:line="240" w:lineRule="auto"/>
    </w:pPr>
    <w:rPr>
      <w:rFonts w:ascii="Arial" w:eastAsia="Arial" w:hAnsi="Arial"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Calibri" w:hAnsi="Calibri" w:cs="Calibri"/>
        <w:b/>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Calibri" w:hAnsi="Calibri" w:cs="Calibri"/>
        <w:b/>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1">
    <w:name w:val="Light Grid Accent 5"/>
    <w:basedOn w:val="a3"/>
    <w:uiPriority w:val="62"/>
    <w:pPr>
      <w:spacing w:after="0" w:line="240" w:lineRule="auto"/>
    </w:pPr>
    <w:rPr>
      <w:rFonts w:ascii="Arial" w:eastAsia="Arial" w:hAnsi="Arial"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Calibri" w:hAnsi="Calibri" w:cs="Calibri"/>
        <w:b/>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Calibri" w:hAnsi="Calibri" w:cs="Calibri"/>
        <w:b/>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1">
    <w:name w:val="Light Grid Accent 6"/>
    <w:basedOn w:val="a3"/>
    <w:uiPriority w:val="62"/>
    <w:pPr>
      <w:spacing w:after="0" w:line="240" w:lineRule="auto"/>
    </w:pPr>
    <w:rPr>
      <w:rFonts w:ascii="Arial" w:eastAsia="Arial" w:hAnsi="Arial"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Calibri" w:hAnsi="Calibri" w:cs="Calibri"/>
        <w:b/>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Calibri" w:hAnsi="Calibri" w:cs="Calibri"/>
        <w:b/>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0">
    <w:name w:val="Medium Shading 1"/>
    <w:basedOn w:val="a3"/>
    <w:uiPriority w:val="63"/>
    <w:pPr>
      <w:spacing w:after="0" w:line="240" w:lineRule="auto"/>
    </w:pPr>
    <w:rPr>
      <w:rFonts w:ascii="Arial" w:eastAsia="Arial" w:hAnsi="Arial"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rPr>
    </w:tblStylePr>
    <w:tblStylePr w:type="lastCol">
      <w:rPr>
        <w:b/>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rPr>
      <w:rFonts w:ascii="Arial" w:eastAsia="Arial" w:hAnsi="Arial"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rPr>
    </w:tblStylePr>
    <w:tblStylePr w:type="lastCol">
      <w:rPr>
        <w:b/>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rPr>
      <w:rFonts w:ascii="Arial" w:eastAsia="Arial" w:hAnsi="Arial" w:cs="Ari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rPr>
    </w:tblStylePr>
    <w:tblStylePr w:type="lastCol">
      <w:rPr>
        <w:b/>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rPr>
      <w:rFonts w:ascii="Arial" w:eastAsia="Arial" w:hAnsi="Arial"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rPr>
    </w:tblStylePr>
    <w:tblStylePr w:type="lastCol">
      <w:rPr>
        <w:b/>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rPr>
      <w:rFonts w:ascii="Arial" w:eastAsia="Arial" w:hAnsi="Arial"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rPr>
    </w:tblStylePr>
    <w:tblStylePr w:type="lastCol">
      <w:rPr>
        <w:b/>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rPr>
      <w:rFonts w:ascii="Arial" w:eastAsia="Arial" w:hAnsi="Arial"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rPr>
    </w:tblStylePr>
    <w:tblStylePr w:type="lastCol">
      <w:rPr>
        <w:b/>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rPr>
      <w:rFonts w:ascii="Arial" w:eastAsia="Arial" w:hAnsi="Arial"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2">
    <w:name w:val="Medium Shading 2"/>
    <w:basedOn w:val="a3"/>
    <w:uiPriority w:val="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000000"/>
      </w:tcPr>
    </w:tblStylePr>
    <w:tblStylePr w:type="lastCol">
      <w:rPr>
        <w:b/>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wCell">
      <w:tblPr/>
      <w:tcPr>
        <w:tcBorders>
          <w:top w:val="single" w:sz="18" w:space="0" w:color="auto"/>
          <w:left w:val="nil"/>
          <w:bottom w:val="single" w:sz="18" w:space="0" w:color="auto"/>
          <w:right w:val="nil"/>
          <w:insideH w:val="nil"/>
          <w:insideV w:val="nil"/>
        </w:tcBorders>
      </w:tcPr>
    </w:tblStylePr>
    <w:tblStylePr w:type="s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4F81BD"/>
      </w:tcPr>
    </w:tblStylePr>
    <w:tblStylePr w:type="lastCol">
      <w:rPr>
        <w:b/>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wCell">
      <w:tblPr/>
      <w:tcPr>
        <w:tcBorders>
          <w:top w:val="single" w:sz="18" w:space="0" w:color="auto"/>
          <w:left w:val="nil"/>
          <w:bottom w:val="single" w:sz="18" w:space="0" w:color="auto"/>
          <w:right w:val="nil"/>
          <w:insideH w:val="nil"/>
          <w:insideV w:val="nil"/>
        </w:tcBorders>
      </w:tcPr>
    </w:tblStylePr>
    <w:tblStylePr w:type="swCell">
      <w:rPr>
        <w:color w:val="FFFFFF"/>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C0504D"/>
      </w:tcPr>
    </w:tblStylePr>
    <w:tblStylePr w:type="lastCol">
      <w:rPr>
        <w:b/>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wCell">
      <w:tblPr/>
      <w:tcPr>
        <w:tcBorders>
          <w:top w:val="single" w:sz="18" w:space="0" w:color="auto"/>
          <w:left w:val="nil"/>
          <w:bottom w:val="single" w:sz="18" w:space="0" w:color="auto"/>
          <w:right w:val="nil"/>
          <w:insideH w:val="nil"/>
          <w:insideV w:val="nil"/>
        </w:tcBorders>
      </w:tcPr>
    </w:tblStylePr>
    <w:tblStylePr w:type="swCell">
      <w:rPr>
        <w:color w:val="FFFFFF"/>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9BBB59"/>
      </w:tcPr>
    </w:tblStylePr>
    <w:tblStylePr w:type="lastCol">
      <w:rPr>
        <w:b/>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wCell">
      <w:tblPr/>
      <w:tcPr>
        <w:tcBorders>
          <w:top w:val="single" w:sz="18" w:space="0" w:color="auto"/>
          <w:left w:val="nil"/>
          <w:bottom w:val="single" w:sz="18" w:space="0" w:color="auto"/>
          <w:right w:val="nil"/>
          <w:insideH w:val="nil"/>
          <w:insideV w:val="nil"/>
        </w:tcBorders>
      </w:tcPr>
    </w:tblStylePr>
    <w:tblStylePr w:type="swCell">
      <w:rPr>
        <w:color w:val="FFFFFF"/>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8064A2"/>
      </w:tcPr>
    </w:tblStylePr>
    <w:tblStylePr w:type="lastCol">
      <w:rPr>
        <w:b/>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wCell">
      <w:tblPr/>
      <w:tcPr>
        <w:tcBorders>
          <w:top w:val="single" w:sz="18" w:space="0" w:color="auto"/>
          <w:left w:val="nil"/>
          <w:bottom w:val="single" w:sz="18" w:space="0" w:color="auto"/>
          <w:right w:val="nil"/>
          <w:insideH w:val="nil"/>
          <w:insideV w:val="nil"/>
        </w:tcBorders>
      </w:tcPr>
    </w:tblStylePr>
    <w:tblStylePr w:type="s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4BACC6"/>
      </w:tcPr>
    </w:tblStylePr>
    <w:tblStylePr w:type="lastCol">
      <w:rPr>
        <w:b/>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wCell">
      <w:tblPr/>
      <w:tcPr>
        <w:tcBorders>
          <w:top w:val="single" w:sz="18" w:space="0" w:color="auto"/>
          <w:left w:val="nil"/>
          <w:bottom w:val="single" w:sz="18" w:space="0" w:color="auto"/>
          <w:right w:val="nil"/>
          <w:insideH w:val="nil"/>
          <w:insideV w:val="nil"/>
        </w:tcBorders>
      </w:tcPr>
    </w:tblStylePr>
    <w:tblStylePr w:type="s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F79646"/>
      </w:tcPr>
    </w:tblStylePr>
    <w:tblStylePr w:type="lastCol">
      <w:rPr>
        <w:b/>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wCell">
      <w:tblPr/>
      <w:tcPr>
        <w:tcBorders>
          <w:top w:val="single" w:sz="18" w:space="0" w:color="auto"/>
          <w:left w:val="nil"/>
          <w:bottom w:val="single" w:sz="18" w:space="0" w:color="auto"/>
          <w:right w:val="nil"/>
          <w:insideH w:val="nil"/>
          <w:insideV w:val="nil"/>
        </w:tcBorders>
      </w:tcPr>
    </w:tblStylePr>
    <w:tblStylePr w:type="swCell">
      <w:rPr>
        <w:color w:val="FFFFFF"/>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pPr>
      <w:spacing w:after="0" w:line="240" w:lineRule="auto"/>
    </w:pPr>
    <w:rPr>
      <w:rFonts w:ascii="Arial" w:eastAsia="Arial" w:hAnsi="Arial" w:cs="Arial"/>
      <w:color w:val="000000"/>
    </w:rPr>
    <w:tblPr>
      <w:tblStyleRowBandSize w:val="1"/>
      <w:tblStyleColBandSize w:val="1"/>
      <w:tblBorders>
        <w:top w:val="single" w:sz="8" w:space="0" w:color="000000"/>
        <w:bottom w:val="single" w:sz="8" w:space="0" w:color="000000"/>
      </w:tblBorders>
    </w:tblPr>
    <w:tblStylePr w:type="firstRow">
      <w:rPr>
        <w:rFonts w:ascii="Calibri" w:eastAsia="Calibri" w:hAnsi="Calibri" w:cs="Calibri"/>
      </w:rPr>
      <w:tblPr/>
      <w:tcPr>
        <w:tcBorders>
          <w:top w:val="nil"/>
          <w:bottom w:val="single" w:sz="8" w:space="0" w:color="000000"/>
        </w:tcBorders>
      </w:tcPr>
    </w:tblStylePr>
    <w:tblStylePr w:type="lastRow">
      <w:rPr>
        <w:b/>
        <w:color w:val="1F497D"/>
      </w:rPr>
      <w:tblPr/>
      <w:tcPr>
        <w:tcBorders>
          <w:top w:val="single" w:sz="8" w:space="0" w:color="000000"/>
          <w:bottom w:val="single" w:sz="8" w:space="0" w:color="000000"/>
        </w:tcBorders>
      </w:tcPr>
    </w:tblStylePr>
    <w:tblStylePr w:type="firstCol">
      <w:rPr>
        <w:b/>
      </w:rPr>
    </w:tblStylePr>
    <w:tblStylePr w:type="lastCol">
      <w:rPr>
        <w:b/>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0">
    <w:name w:val="Medium List 1 Accent 1"/>
    <w:basedOn w:val="a3"/>
    <w:uiPriority w:val="65"/>
    <w:pPr>
      <w:spacing w:after="0" w:line="240" w:lineRule="auto"/>
    </w:pPr>
    <w:rPr>
      <w:rFonts w:ascii="Arial" w:eastAsia="Arial" w:hAnsi="Arial" w:cs="Arial"/>
      <w:color w:val="000000"/>
    </w:rPr>
    <w:tblPr>
      <w:tblStyleRowBandSize w:val="1"/>
      <w:tblStyleColBandSize w:val="1"/>
      <w:tblBorders>
        <w:top w:val="single" w:sz="8" w:space="0" w:color="4F81BD"/>
        <w:bottom w:val="single" w:sz="8" w:space="0" w:color="4F81BD"/>
      </w:tblBorders>
    </w:tblPr>
    <w:tblStylePr w:type="firstRow">
      <w:rPr>
        <w:rFonts w:ascii="Calibri" w:eastAsia="Calibri" w:hAnsi="Calibri" w:cs="Calibri"/>
      </w:rPr>
      <w:tblPr/>
      <w:tcPr>
        <w:tcBorders>
          <w:top w:val="nil"/>
          <w:bottom w:val="single" w:sz="8" w:space="0" w:color="4F81BD"/>
        </w:tcBorders>
      </w:tcPr>
    </w:tblStylePr>
    <w:tblStylePr w:type="lastRow">
      <w:rPr>
        <w:b/>
        <w:color w:val="1F497D"/>
      </w:rPr>
      <w:tblPr/>
      <w:tcPr>
        <w:tcBorders>
          <w:top w:val="single" w:sz="8" w:space="0" w:color="4F81BD"/>
          <w:bottom w:val="single" w:sz="8" w:space="0" w:color="4F81BD"/>
        </w:tcBorders>
      </w:tcPr>
    </w:tblStylePr>
    <w:tblStylePr w:type="firstCol">
      <w:rPr>
        <w:b/>
      </w:rPr>
    </w:tblStylePr>
    <w:tblStylePr w:type="lastCol">
      <w:rPr>
        <w:b/>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3"/>
    <w:uiPriority w:val="65"/>
    <w:pPr>
      <w:spacing w:after="0" w:line="240" w:lineRule="auto"/>
    </w:pPr>
    <w:rPr>
      <w:rFonts w:ascii="Arial" w:eastAsia="Arial" w:hAnsi="Arial" w:cs="Arial"/>
      <w:color w:val="000000"/>
    </w:rPr>
    <w:tblPr>
      <w:tblStyleRowBandSize w:val="1"/>
      <w:tblStyleColBandSize w:val="1"/>
      <w:tblBorders>
        <w:top w:val="single" w:sz="8" w:space="0" w:color="C0504D"/>
        <w:bottom w:val="single" w:sz="8" w:space="0" w:color="C0504D"/>
      </w:tblBorders>
    </w:tblPr>
    <w:tblStylePr w:type="firstRow">
      <w:rPr>
        <w:rFonts w:ascii="Calibri" w:eastAsia="Calibri" w:hAnsi="Calibri" w:cs="Calibri"/>
      </w:rPr>
      <w:tblPr/>
      <w:tcPr>
        <w:tcBorders>
          <w:top w:val="nil"/>
          <w:bottom w:val="single" w:sz="8" w:space="0" w:color="C0504D"/>
        </w:tcBorders>
      </w:tcPr>
    </w:tblStylePr>
    <w:tblStylePr w:type="lastRow">
      <w:rPr>
        <w:b/>
        <w:color w:val="1F497D"/>
      </w:rPr>
      <w:tblPr/>
      <w:tcPr>
        <w:tcBorders>
          <w:top w:val="single" w:sz="8" w:space="0" w:color="C0504D"/>
          <w:bottom w:val="single" w:sz="8" w:space="0" w:color="C0504D"/>
        </w:tcBorders>
      </w:tcPr>
    </w:tblStylePr>
    <w:tblStylePr w:type="firstCol">
      <w:rPr>
        <w:b/>
      </w:rPr>
    </w:tblStylePr>
    <w:tblStylePr w:type="lastCol">
      <w:rPr>
        <w:b/>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3"/>
    <w:uiPriority w:val="65"/>
    <w:pPr>
      <w:spacing w:after="0" w:line="240" w:lineRule="auto"/>
    </w:pPr>
    <w:rPr>
      <w:rFonts w:ascii="Arial" w:eastAsia="Arial" w:hAnsi="Arial" w:cs="Arial"/>
      <w:color w:val="000000"/>
    </w:rPr>
    <w:tblPr>
      <w:tblStyleRowBandSize w:val="1"/>
      <w:tblStyleColBandSize w:val="1"/>
      <w:tblBorders>
        <w:top w:val="single" w:sz="8" w:space="0" w:color="9BBB59"/>
        <w:bottom w:val="single" w:sz="8" w:space="0" w:color="9BBB59"/>
      </w:tblBorders>
    </w:tblPr>
    <w:tblStylePr w:type="firstRow">
      <w:rPr>
        <w:rFonts w:ascii="Calibri" w:eastAsia="Calibri" w:hAnsi="Calibri" w:cs="Calibri"/>
      </w:rPr>
      <w:tblPr/>
      <w:tcPr>
        <w:tcBorders>
          <w:top w:val="nil"/>
          <w:bottom w:val="single" w:sz="8" w:space="0" w:color="9BBB59"/>
        </w:tcBorders>
      </w:tcPr>
    </w:tblStylePr>
    <w:tblStylePr w:type="lastRow">
      <w:rPr>
        <w:b/>
        <w:color w:val="1F497D"/>
      </w:rPr>
      <w:tblPr/>
      <w:tcPr>
        <w:tcBorders>
          <w:top w:val="single" w:sz="8" w:space="0" w:color="9BBB59"/>
          <w:bottom w:val="single" w:sz="8" w:space="0" w:color="9BBB59"/>
        </w:tcBorders>
      </w:tcPr>
    </w:tblStylePr>
    <w:tblStylePr w:type="firstCol">
      <w:rPr>
        <w:b/>
      </w:rPr>
    </w:tblStylePr>
    <w:tblStylePr w:type="lastCol">
      <w:rPr>
        <w:b/>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3"/>
    <w:uiPriority w:val="65"/>
    <w:pPr>
      <w:spacing w:after="0" w:line="240" w:lineRule="auto"/>
    </w:pPr>
    <w:rPr>
      <w:rFonts w:ascii="Arial" w:eastAsia="Arial" w:hAnsi="Arial" w:cs="Arial"/>
      <w:color w:val="000000"/>
    </w:rPr>
    <w:tblPr>
      <w:tblStyleRowBandSize w:val="1"/>
      <w:tblStyleColBandSize w:val="1"/>
      <w:tblBorders>
        <w:top w:val="single" w:sz="8" w:space="0" w:color="8064A2"/>
        <w:bottom w:val="single" w:sz="8" w:space="0" w:color="8064A2"/>
      </w:tblBorders>
    </w:tblPr>
    <w:tblStylePr w:type="firstRow">
      <w:rPr>
        <w:rFonts w:ascii="Calibri" w:eastAsia="Calibri" w:hAnsi="Calibri" w:cs="Calibri"/>
      </w:rPr>
      <w:tblPr/>
      <w:tcPr>
        <w:tcBorders>
          <w:top w:val="nil"/>
          <w:bottom w:val="single" w:sz="8" w:space="0" w:color="8064A2"/>
        </w:tcBorders>
      </w:tcPr>
    </w:tblStylePr>
    <w:tblStylePr w:type="lastRow">
      <w:rPr>
        <w:b/>
        <w:color w:val="1F497D"/>
      </w:rPr>
      <w:tblPr/>
      <w:tcPr>
        <w:tcBorders>
          <w:top w:val="single" w:sz="8" w:space="0" w:color="8064A2"/>
          <w:bottom w:val="single" w:sz="8" w:space="0" w:color="8064A2"/>
        </w:tcBorders>
      </w:tcPr>
    </w:tblStylePr>
    <w:tblStylePr w:type="firstCol">
      <w:rPr>
        <w:b/>
      </w:rPr>
    </w:tblStylePr>
    <w:tblStylePr w:type="lastCol">
      <w:rPr>
        <w:b/>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3"/>
    <w:uiPriority w:val="65"/>
    <w:pPr>
      <w:spacing w:after="0" w:line="240" w:lineRule="auto"/>
    </w:pPr>
    <w:rPr>
      <w:rFonts w:ascii="Arial" w:eastAsia="Arial" w:hAnsi="Arial" w:cs="Arial"/>
      <w:color w:val="000000"/>
    </w:rPr>
    <w:tblPr>
      <w:tblStyleRowBandSize w:val="1"/>
      <w:tblStyleColBandSize w:val="1"/>
      <w:tblBorders>
        <w:top w:val="single" w:sz="8" w:space="0" w:color="4BACC6"/>
        <w:bottom w:val="single" w:sz="8" w:space="0" w:color="4BACC6"/>
      </w:tblBorders>
    </w:tblPr>
    <w:tblStylePr w:type="firstRow">
      <w:rPr>
        <w:rFonts w:ascii="Calibri" w:eastAsia="Calibri" w:hAnsi="Calibri" w:cs="Calibri"/>
      </w:rPr>
      <w:tblPr/>
      <w:tcPr>
        <w:tcBorders>
          <w:top w:val="nil"/>
          <w:bottom w:val="single" w:sz="8" w:space="0" w:color="4BACC6"/>
        </w:tcBorders>
      </w:tcPr>
    </w:tblStylePr>
    <w:tblStylePr w:type="lastRow">
      <w:rPr>
        <w:b/>
        <w:color w:val="1F497D"/>
      </w:rPr>
      <w:tblPr/>
      <w:tcPr>
        <w:tcBorders>
          <w:top w:val="single" w:sz="8" w:space="0" w:color="4BACC6"/>
          <w:bottom w:val="single" w:sz="8" w:space="0" w:color="4BACC6"/>
        </w:tcBorders>
      </w:tcPr>
    </w:tblStylePr>
    <w:tblStylePr w:type="firstCol">
      <w:rPr>
        <w:b/>
      </w:rPr>
    </w:tblStylePr>
    <w:tblStylePr w:type="lastCol">
      <w:rPr>
        <w:b/>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3"/>
    <w:uiPriority w:val="65"/>
    <w:pPr>
      <w:spacing w:after="0" w:line="240" w:lineRule="auto"/>
    </w:pPr>
    <w:rPr>
      <w:rFonts w:ascii="Arial" w:eastAsia="Arial" w:hAnsi="Arial" w:cs="Arial"/>
      <w:color w:val="000000"/>
    </w:rPr>
    <w:tblPr>
      <w:tblStyleRowBandSize w:val="1"/>
      <w:tblStyleColBandSize w:val="1"/>
      <w:tblBorders>
        <w:top w:val="single" w:sz="8" w:space="0" w:color="F79646"/>
        <w:bottom w:val="single" w:sz="8" w:space="0" w:color="F79646"/>
      </w:tblBorders>
    </w:tblPr>
    <w:tblStylePr w:type="firstRow">
      <w:rPr>
        <w:rFonts w:ascii="Calibri" w:eastAsia="Calibri" w:hAnsi="Calibri" w:cs="Calibri"/>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3">
    <w:name w:val="Medium List 2"/>
    <w:basedOn w:val="a3"/>
    <w:uiPriority w:val="66"/>
    <w:pPr>
      <w:spacing w:after="0" w:line="240" w:lineRule="auto"/>
    </w:pPr>
    <w:rPr>
      <w:rFonts w:ascii="Calibri" w:eastAsia="Calibri" w:hAnsi="Calibri" w:cs="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seCell">
      <w:tblPr/>
      <w:tcPr>
        <w:tcBorders>
          <w:top w:val="nil"/>
        </w:tcBorders>
      </w:tcPr>
    </w:tblStylePr>
    <w:tblStylePr w:type="swCell">
      <w:tblPr/>
      <w:tcPr>
        <w:shd w:val="clear" w:color="auto" w:fill="FFFFFF"/>
      </w:tcPr>
    </w:tblStylePr>
  </w:style>
  <w:style w:type="table" w:styleId="2-10">
    <w:name w:val="Medium List 2 Accent 1"/>
    <w:basedOn w:val="a3"/>
    <w:uiPriority w:val="66"/>
    <w:pPr>
      <w:spacing w:after="0" w:line="240" w:lineRule="auto"/>
    </w:pPr>
    <w:rPr>
      <w:rFonts w:ascii="Calibri" w:eastAsia="Calibri" w:hAnsi="Calibri" w:cs="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seCell">
      <w:tblPr/>
      <w:tcPr>
        <w:tcBorders>
          <w:top w:val="nil"/>
        </w:tcBorders>
      </w:tcPr>
    </w:tblStylePr>
    <w:tblStylePr w:type="swCell">
      <w:tblPr/>
      <w:tcPr>
        <w:shd w:val="clear" w:color="auto" w:fill="FFFFFF"/>
      </w:tcPr>
    </w:tblStylePr>
  </w:style>
  <w:style w:type="table" w:styleId="2-20">
    <w:name w:val="Medium List 2 Accent 2"/>
    <w:basedOn w:val="a3"/>
    <w:uiPriority w:val="66"/>
    <w:pPr>
      <w:spacing w:after="0" w:line="240" w:lineRule="auto"/>
    </w:pPr>
    <w:rPr>
      <w:rFonts w:ascii="Calibri" w:eastAsia="Calibri" w:hAnsi="Calibri" w:cs="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seCell">
      <w:tblPr/>
      <w:tcPr>
        <w:tcBorders>
          <w:top w:val="nil"/>
        </w:tcBorders>
      </w:tcPr>
    </w:tblStylePr>
    <w:tblStylePr w:type="swCell">
      <w:tblPr/>
      <w:tcPr>
        <w:shd w:val="clear" w:color="auto" w:fill="FFFFFF"/>
      </w:tcPr>
    </w:tblStylePr>
  </w:style>
  <w:style w:type="table" w:styleId="2-30">
    <w:name w:val="Medium List 2 Accent 3"/>
    <w:basedOn w:val="a3"/>
    <w:uiPriority w:val="66"/>
    <w:pPr>
      <w:spacing w:after="0" w:line="240" w:lineRule="auto"/>
    </w:pPr>
    <w:rPr>
      <w:rFonts w:ascii="Calibri" w:eastAsia="Calibri" w:hAnsi="Calibri" w:cs="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seCell">
      <w:tblPr/>
      <w:tcPr>
        <w:tcBorders>
          <w:top w:val="nil"/>
        </w:tcBorders>
      </w:tcPr>
    </w:tblStylePr>
    <w:tblStylePr w:type="swCell">
      <w:tblPr/>
      <w:tcPr>
        <w:shd w:val="clear" w:color="auto" w:fill="FFFFFF"/>
      </w:tcPr>
    </w:tblStylePr>
  </w:style>
  <w:style w:type="table" w:styleId="2-40">
    <w:name w:val="Medium List 2 Accent 4"/>
    <w:basedOn w:val="a3"/>
    <w:uiPriority w:val="66"/>
    <w:pPr>
      <w:spacing w:after="0" w:line="240" w:lineRule="auto"/>
    </w:pPr>
    <w:rPr>
      <w:rFonts w:ascii="Calibri" w:eastAsia="Calibri" w:hAnsi="Calibri" w:cs="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seCell">
      <w:tblPr/>
      <w:tcPr>
        <w:tcBorders>
          <w:top w:val="nil"/>
        </w:tcBorders>
      </w:tcPr>
    </w:tblStylePr>
    <w:tblStylePr w:type="swCell">
      <w:tblPr/>
      <w:tcPr>
        <w:shd w:val="clear" w:color="auto" w:fill="FFFFFF"/>
      </w:tcPr>
    </w:tblStylePr>
  </w:style>
  <w:style w:type="table" w:styleId="2-50">
    <w:name w:val="Medium List 2 Accent 5"/>
    <w:basedOn w:val="a3"/>
    <w:uiPriority w:val="66"/>
    <w:pPr>
      <w:spacing w:after="0" w:line="240" w:lineRule="auto"/>
    </w:pPr>
    <w:rPr>
      <w:rFonts w:ascii="Calibri" w:eastAsia="Calibri" w:hAnsi="Calibri" w:cs="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seCell">
      <w:tblPr/>
      <w:tcPr>
        <w:tcBorders>
          <w:top w:val="nil"/>
        </w:tcBorders>
      </w:tcPr>
    </w:tblStylePr>
    <w:tblStylePr w:type="swCell">
      <w:tblPr/>
      <w:tcPr>
        <w:shd w:val="clear" w:color="auto" w:fill="FFFFFF"/>
      </w:tcPr>
    </w:tblStylePr>
  </w:style>
  <w:style w:type="table" w:styleId="2-60">
    <w:name w:val="Medium List 2 Accent 6"/>
    <w:basedOn w:val="a3"/>
    <w:uiPriority w:val="66"/>
    <w:pPr>
      <w:spacing w:after="0" w:line="240" w:lineRule="auto"/>
    </w:pPr>
    <w:rPr>
      <w:rFonts w:ascii="Calibri" w:eastAsia="Calibri" w:hAnsi="Calibri" w:cs="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seCell">
      <w:tblPr/>
      <w:tcPr>
        <w:tcBorders>
          <w:top w:val="nil"/>
        </w:tcBorders>
      </w:tcPr>
    </w:tblStylePr>
    <w:tblStylePr w:type="swCell">
      <w:tblPr/>
      <w:tcPr>
        <w:shd w:val="clear" w:color="auto" w:fill="FFFFFF"/>
      </w:tcPr>
    </w:tblStylePr>
  </w:style>
  <w:style w:type="table" w:styleId="12">
    <w:name w:val="Medium Grid 1"/>
    <w:basedOn w:val="a3"/>
    <w:uiPriority w:val="67"/>
    <w:pPr>
      <w:spacing w:after="0" w:line="240" w:lineRule="auto"/>
    </w:pPr>
    <w:rPr>
      <w:rFonts w:ascii="Arial" w:eastAsia="Arial" w:hAnsi="Arial"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blStylePr w:type="firstRow">
      <w:rPr>
        <w:b/>
      </w:rPr>
    </w:tblStylePr>
    <w:tblStylePr w:type="lastRow">
      <w:rPr>
        <w:b/>
      </w:rPr>
      <w:tblPr/>
      <w:tcPr>
        <w:tcBorders>
          <w:top w:val="single" w:sz="18" w:space="0" w:color="404040"/>
        </w:tcBorders>
      </w:tcPr>
    </w:tblStylePr>
    <w:tblStylePr w:type="firstCol">
      <w:rPr>
        <w:b/>
      </w:rPr>
    </w:tblStylePr>
    <w:tblStylePr w:type="lastCol">
      <w:rPr>
        <w:b/>
      </w:rPr>
    </w:tblStylePr>
    <w:tblStylePr w:type="band1Vert">
      <w:tblPr/>
      <w:tcPr>
        <w:shd w:val="clear" w:color="auto" w:fill="808080"/>
      </w:tcPr>
    </w:tblStylePr>
    <w:tblStylePr w:type="band1Horz">
      <w:tblPr/>
      <w:tcPr>
        <w:shd w:val="clear" w:color="auto" w:fill="808080"/>
      </w:tcPr>
    </w:tblStylePr>
  </w:style>
  <w:style w:type="table" w:styleId="1-11">
    <w:name w:val="Medium Grid 1 Accent 1"/>
    <w:basedOn w:val="a3"/>
    <w:uiPriority w:val="67"/>
    <w:pPr>
      <w:spacing w:after="0" w:line="240" w:lineRule="auto"/>
    </w:pPr>
    <w:rPr>
      <w:rFonts w:ascii="Arial" w:eastAsia="Arial" w:hAnsi="Arial"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blStylePr w:type="firstRow">
      <w:rPr>
        <w:b/>
      </w:rPr>
    </w:tblStylePr>
    <w:tblStylePr w:type="lastRow">
      <w:rPr>
        <w:b/>
      </w:rPr>
      <w:tblPr/>
      <w:tcPr>
        <w:tcBorders>
          <w:top w:val="single" w:sz="18" w:space="0" w:color="7BA0CD"/>
        </w:tcBorders>
      </w:tcPr>
    </w:tblStylePr>
    <w:tblStylePr w:type="firstCol">
      <w:rPr>
        <w:b/>
      </w:rPr>
    </w:tblStylePr>
    <w:tblStylePr w:type="lastCol">
      <w:rPr>
        <w:b/>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3"/>
    <w:uiPriority w:val="67"/>
    <w:pPr>
      <w:spacing w:after="0" w:line="240" w:lineRule="auto"/>
    </w:pPr>
    <w:rPr>
      <w:rFonts w:ascii="Arial" w:eastAsia="Arial" w:hAnsi="Arial" w:cs="Ari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blStylePr w:type="firstRow">
      <w:rPr>
        <w:b/>
      </w:rPr>
    </w:tblStylePr>
    <w:tblStylePr w:type="lastRow">
      <w:rPr>
        <w:b/>
      </w:rPr>
      <w:tblPr/>
      <w:tcPr>
        <w:tcBorders>
          <w:top w:val="single" w:sz="18" w:space="0" w:color="CF7B79"/>
        </w:tcBorders>
      </w:tcPr>
    </w:tblStylePr>
    <w:tblStylePr w:type="firstCol">
      <w:rPr>
        <w:b/>
      </w:rPr>
    </w:tblStylePr>
    <w:tblStylePr w:type="lastCol">
      <w:rPr>
        <w:b/>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3"/>
    <w:uiPriority w:val="67"/>
    <w:pPr>
      <w:spacing w:after="0" w:line="240" w:lineRule="auto"/>
    </w:pPr>
    <w:rPr>
      <w:rFonts w:ascii="Arial" w:eastAsia="Arial" w:hAnsi="Arial"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blStylePr w:type="firstRow">
      <w:rPr>
        <w:b/>
      </w:rPr>
    </w:tblStylePr>
    <w:tblStylePr w:type="lastRow">
      <w:rPr>
        <w:b/>
      </w:rPr>
      <w:tblPr/>
      <w:tcPr>
        <w:tcBorders>
          <w:top w:val="single" w:sz="18" w:space="0" w:color="B3CC82"/>
        </w:tcBorders>
      </w:tcPr>
    </w:tblStylePr>
    <w:tblStylePr w:type="firstCol">
      <w:rPr>
        <w:b/>
      </w:rPr>
    </w:tblStylePr>
    <w:tblStylePr w:type="lastCol">
      <w:rPr>
        <w:b/>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3"/>
    <w:uiPriority w:val="67"/>
    <w:pPr>
      <w:spacing w:after="0" w:line="240" w:lineRule="auto"/>
    </w:pPr>
    <w:rPr>
      <w:rFonts w:ascii="Arial" w:eastAsia="Arial" w:hAnsi="Arial"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blStylePr w:type="firstRow">
      <w:rPr>
        <w:b/>
      </w:rPr>
    </w:tblStylePr>
    <w:tblStylePr w:type="lastRow">
      <w:rPr>
        <w:b/>
      </w:rPr>
      <w:tblPr/>
      <w:tcPr>
        <w:tcBorders>
          <w:top w:val="single" w:sz="18" w:space="0" w:color="9F8AB9"/>
        </w:tcBorders>
      </w:tcPr>
    </w:tblStylePr>
    <w:tblStylePr w:type="firstCol">
      <w:rPr>
        <w:b/>
      </w:rPr>
    </w:tblStylePr>
    <w:tblStylePr w:type="lastCol">
      <w:rPr>
        <w:b/>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3"/>
    <w:uiPriority w:val="67"/>
    <w:pPr>
      <w:spacing w:after="0" w:line="240" w:lineRule="auto"/>
    </w:pPr>
    <w:rPr>
      <w:rFonts w:ascii="Arial" w:eastAsia="Arial" w:hAnsi="Arial"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3"/>
    <w:uiPriority w:val="67"/>
    <w:pPr>
      <w:spacing w:after="0" w:line="240" w:lineRule="auto"/>
    </w:pPr>
    <w:rPr>
      <w:rFonts w:ascii="Arial" w:eastAsia="Arial" w:hAnsi="Arial"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styleId="24">
    <w:name w:val="Medium Grid 2"/>
    <w:basedOn w:val="a3"/>
    <w:uiPriority w:val="68"/>
    <w:pPr>
      <w:spacing w:after="0" w:line="240" w:lineRule="auto"/>
    </w:pPr>
    <w:rPr>
      <w:rFonts w:ascii="Calibri" w:eastAsia="Calibri" w:hAnsi="Calibri" w:cs="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rPr>
        <w:b/>
        <w:color w:val="000000"/>
      </w:rPr>
      <w:tblPr/>
      <w:tcPr>
        <w:shd w:val="clear" w:color="auto" w:fill="E6E6E6"/>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swCell">
      <w:tblPr/>
      <w:tcPr>
        <w:shd w:val="clear" w:color="auto" w:fill="FFFFFF"/>
      </w:tcPr>
    </w:tblStylePr>
  </w:style>
  <w:style w:type="table" w:styleId="2-11">
    <w:name w:val="Medium Grid 2 Accent 1"/>
    <w:basedOn w:val="a3"/>
    <w:uiPriority w:val="68"/>
    <w:pPr>
      <w:spacing w:after="0" w:line="240" w:lineRule="auto"/>
    </w:pPr>
    <w:rPr>
      <w:rFonts w:ascii="Calibri" w:eastAsia="Calibri" w:hAnsi="Calibri" w:cs="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rPr>
        <w:b/>
        <w:color w:val="000000"/>
      </w:rPr>
      <w:tblPr/>
      <w:tcPr>
        <w:shd w:val="clear" w:color="auto" w:fill="EDF2F8"/>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swCell">
      <w:tblPr/>
      <w:tcPr>
        <w:shd w:val="clear" w:color="auto" w:fill="FFFFFF"/>
      </w:tcPr>
    </w:tblStylePr>
  </w:style>
  <w:style w:type="table" w:styleId="2-21">
    <w:name w:val="Medium Grid 2 Accent 2"/>
    <w:basedOn w:val="a3"/>
    <w:uiPriority w:val="68"/>
    <w:pPr>
      <w:spacing w:after="0" w:line="240" w:lineRule="auto"/>
    </w:pPr>
    <w:rPr>
      <w:rFonts w:ascii="Calibri" w:eastAsia="Calibri" w:hAnsi="Calibri" w:cs="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rPr>
        <w:b/>
        <w:color w:val="000000"/>
      </w:rPr>
      <w:tblPr/>
      <w:tcPr>
        <w:shd w:val="clear" w:color="auto" w:fill="F8EDED"/>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swCell">
      <w:tblPr/>
      <w:tcPr>
        <w:shd w:val="clear" w:color="auto" w:fill="FFFFFF"/>
      </w:tcPr>
    </w:tblStylePr>
  </w:style>
  <w:style w:type="table" w:styleId="2-31">
    <w:name w:val="Medium Grid 2 Accent 3"/>
    <w:basedOn w:val="a3"/>
    <w:uiPriority w:val="68"/>
    <w:pPr>
      <w:spacing w:after="0" w:line="240" w:lineRule="auto"/>
    </w:pPr>
    <w:rPr>
      <w:rFonts w:ascii="Calibri" w:eastAsia="Calibri" w:hAnsi="Calibri" w:cs="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rPr>
        <w:b/>
        <w:color w:val="000000"/>
      </w:rPr>
      <w:tblPr/>
      <w:tcPr>
        <w:shd w:val="clear" w:color="auto" w:fill="F5F8EE"/>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swCell">
      <w:tblPr/>
      <w:tcPr>
        <w:shd w:val="clear" w:color="auto" w:fill="FFFFFF"/>
      </w:tcPr>
    </w:tblStylePr>
  </w:style>
  <w:style w:type="table" w:styleId="2-41">
    <w:name w:val="Medium Grid 2 Accent 4"/>
    <w:basedOn w:val="a3"/>
    <w:uiPriority w:val="68"/>
    <w:pPr>
      <w:spacing w:after="0" w:line="240" w:lineRule="auto"/>
    </w:pPr>
    <w:rPr>
      <w:rFonts w:ascii="Calibri" w:eastAsia="Calibri" w:hAnsi="Calibri" w:cs="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rPr>
        <w:b/>
        <w:color w:val="000000"/>
      </w:rPr>
      <w:tblPr/>
      <w:tcPr>
        <w:shd w:val="clear" w:color="auto" w:fill="F2EFF6"/>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swCell">
      <w:tblPr/>
      <w:tcPr>
        <w:shd w:val="clear" w:color="auto" w:fill="FFFFFF"/>
      </w:tcPr>
    </w:tblStylePr>
  </w:style>
  <w:style w:type="table" w:styleId="2-51">
    <w:name w:val="Medium Grid 2 Accent 5"/>
    <w:basedOn w:val="a3"/>
    <w:uiPriority w:val="68"/>
    <w:pPr>
      <w:spacing w:after="0" w:line="240" w:lineRule="auto"/>
    </w:pPr>
    <w:rPr>
      <w:rFonts w:ascii="Calibri" w:eastAsia="Calibri" w:hAnsi="Calibri" w:cs="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rPr>
        <w:b/>
        <w:color w:val="000000"/>
      </w:rPr>
      <w:tblPr/>
      <w:tcPr>
        <w:shd w:val="clear" w:color="auto" w:fill="EDF6F9"/>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swCell">
      <w:tblPr/>
      <w:tcPr>
        <w:shd w:val="clear" w:color="auto" w:fill="FFFFFF"/>
      </w:tcPr>
    </w:tblStylePr>
  </w:style>
  <w:style w:type="table" w:styleId="2-61">
    <w:name w:val="Medium Grid 2 Accent 6"/>
    <w:basedOn w:val="a3"/>
    <w:uiPriority w:val="68"/>
    <w:pPr>
      <w:spacing w:after="0" w:line="240" w:lineRule="auto"/>
    </w:pPr>
    <w:rPr>
      <w:rFonts w:ascii="Calibri" w:eastAsia="Calibri" w:hAnsi="Calibri" w:cs="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rPr>
        <w:b/>
        <w:color w:val="000000"/>
      </w:rPr>
      <w:tblPr/>
      <w:tcPr>
        <w:shd w:val="clear" w:color="auto" w:fill="FEF4EC"/>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swCell">
      <w:tblPr/>
      <w:tcPr>
        <w:shd w:val="clear" w:color="auto" w:fill="FFFFFF"/>
      </w:tcPr>
    </w:tblStylePr>
  </w:style>
  <w:style w:type="table" w:styleId="32">
    <w:name w:val="Medium Grid 3"/>
    <w:basedOn w:val="a3"/>
    <w:uiPriority w:val="69"/>
    <w:pPr>
      <w:spacing w:after="0" w:line="240" w:lineRule="auto"/>
    </w:pPr>
    <w:rPr>
      <w:rFonts w:ascii="Arial" w:eastAsia="Arial" w:hAnsi="Arial"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i w:val="0"/>
        <w:color w:val="FFFFFF"/>
      </w:rPr>
      <w:tblPr/>
      <w:tcPr>
        <w:tcBorders>
          <w:left w:val="single" w:sz="8" w:space="0" w:color="FFFFFF"/>
          <w:right w:val="single" w:sz="24" w:space="0" w:color="FFFFFF"/>
          <w:insideH w:val="nil"/>
          <w:insideV w:val="nil"/>
        </w:tcBorders>
        <w:shd w:val="clear" w:color="auto" w:fill="000000"/>
      </w:tcPr>
    </w:tblStylePr>
    <w:tblStylePr w:type="lastCol">
      <w:rPr>
        <w:b/>
        <w:i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3"/>
    <w:uiPriority w:val="69"/>
    <w:pPr>
      <w:spacing w:after="0" w:line="240" w:lineRule="auto"/>
    </w:pPr>
    <w:rPr>
      <w:rFonts w:ascii="Arial" w:eastAsia="Arial" w:hAnsi="Arial"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3"/>
    <w:uiPriority w:val="69"/>
    <w:pPr>
      <w:spacing w:after="0" w:line="240" w:lineRule="auto"/>
    </w:pPr>
    <w:rPr>
      <w:rFonts w:ascii="Arial" w:eastAsia="Arial" w:hAnsi="Arial"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3"/>
    <w:uiPriority w:val="69"/>
    <w:pPr>
      <w:spacing w:after="0" w:line="240" w:lineRule="auto"/>
    </w:pPr>
    <w:rPr>
      <w:rFonts w:ascii="Arial" w:eastAsia="Arial" w:hAnsi="Arial"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i w:val="0"/>
        <w:color w:val="FFFFFF"/>
      </w:rPr>
      <w:tblPr/>
      <w:tcPr>
        <w:tcBorders>
          <w:left w:val="single" w:sz="8" w:space="0" w:color="FFFFFF"/>
          <w:right w:val="single" w:sz="24" w:space="0" w:color="FFFFFF"/>
          <w:insideH w:val="nil"/>
          <w:insideV w:val="nil"/>
        </w:tcBorders>
        <w:shd w:val="clear" w:color="auto" w:fill="9BBB59"/>
      </w:tcPr>
    </w:tblStylePr>
    <w:tblStylePr w:type="lastCol">
      <w:rPr>
        <w:b/>
        <w:i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3"/>
    <w:uiPriority w:val="69"/>
    <w:pPr>
      <w:spacing w:after="0" w:line="240" w:lineRule="auto"/>
    </w:pPr>
    <w:rPr>
      <w:rFonts w:ascii="Arial" w:eastAsia="Arial" w:hAnsi="Arial"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i w:val="0"/>
        <w:color w:val="FFFFFF"/>
      </w:rPr>
      <w:tblPr/>
      <w:tcPr>
        <w:tcBorders>
          <w:left w:val="single" w:sz="8" w:space="0" w:color="FFFFFF"/>
          <w:right w:val="single" w:sz="24" w:space="0" w:color="FFFFFF"/>
          <w:insideH w:val="nil"/>
          <w:insideV w:val="nil"/>
        </w:tcBorders>
        <w:shd w:val="clear" w:color="auto" w:fill="8064A2"/>
      </w:tcPr>
    </w:tblStylePr>
    <w:tblStylePr w:type="lastCol">
      <w:rPr>
        <w:b/>
        <w:i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3"/>
    <w:uiPriority w:val="69"/>
    <w:pPr>
      <w:spacing w:after="0" w:line="240" w:lineRule="auto"/>
    </w:pPr>
    <w:rPr>
      <w:rFonts w:ascii="Arial" w:eastAsia="Arial" w:hAnsi="Arial"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i w:val="0"/>
        <w:color w:val="FFFFFF"/>
      </w:rPr>
      <w:tblPr/>
      <w:tcPr>
        <w:tcBorders>
          <w:left w:val="single" w:sz="8" w:space="0" w:color="FFFFFF"/>
          <w:right w:val="single" w:sz="24" w:space="0" w:color="FFFFFF"/>
          <w:insideH w:val="nil"/>
          <w:insideV w:val="nil"/>
        </w:tcBorders>
        <w:shd w:val="clear" w:color="auto" w:fill="4BACC6"/>
      </w:tcPr>
    </w:tblStylePr>
    <w:tblStylePr w:type="lastCol">
      <w:rPr>
        <w:b/>
        <w:i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3"/>
    <w:uiPriority w:val="69"/>
    <w:pPr>
      <w:spacing w:after="0" w:line="240" w:lineRule="auto"/>
    </w:pPr>
    <w:rPr>
      <w:rFonts w:ascii="Arial" w:eastAsia="Arial" w:hAnsi="Arial"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i w:val="0"/>
        <w:color w:val="FFFFFF"/>
      </w:rPr>
      <w:tblPr/>
      <w:tcPr>
        <w:tcBorders>
          <w:left w:val="single" w:sz="8" w:space="0" w:color="FFFFFF"/>
          <w:right w:val="single" w:sz="24" w:space="0" w:color="FFFFFF"/>
          <w:insideH w:val="nil"/>
          <w:insideV w:val="nil"/>
        </w:tcBorders>
        <w:shd w:val="clear" w:color="auto" w:fill="F79646"/>
      </w:tcPr>
    </w:tblStylePr>
    <w:tblStylePr w:type="lastCol">
      <w:rPr>
        <w:b/>
        <w:i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9">
    <w:name w:val="Dark List"/>
    <w:basedOn w:val="a3"/>
    <w:uiPriority w:val="70"/>
    <w:pPr>
      <w:spacing w:after="0" w:line="240" w:lineRule="auto"/>
    </w:pPr>
    <w:rPr>
      <w:rFonts w:ascii="Arial" w:eastAsia="Arial" w:hAnsi="Arial" w:cs="Arial"/>
      <w:color w:val="FFFFFF"/>
    </w:rPr>
    <w:tblPr>
      <w:tblStyleRowBandSize w:val="1"/>
      <w:tblStyleColBandSize w:val="1"/>
    </w:tbl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2">
    <w:name w:val="Dark List Accent 1"/>
    <w:basedOn w:val="a3"/>
    <w:uiPriority w:val="70"/>
    <w:pPr>
      <w:spacing w:after="0" w:line="240" w:lineRule="auto"/>
    </w:pPr>
    <w:rPr>
      <w:rFonts w:ascii="Arial" w:eastAsia="Arial" w:hAnsi="Arial" w:cs="Arial"/>
      <w:color w:val="FFFFFF"/>
    </w:rPr>
    <w:tblPr>
      <w:tblStyleRowBandSize w:val="1"/>
      <w:tblStyleColBandSize w:val="1"/>
    </w:tbl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
    <w:name w:val="Dark List Accent 2"/>
    <w:basedOn w:val="a3"/>
    <w:uiPriority w:val="70"/>
    <w:pPr>
      <w:spacing w:after="0" w:line="240" w:lineRule="auto"/>
    </w:pPr>
    <w:rPr>
      <w:rFonts w:ascii="Arial" w:eastAsia="Arial" w:hAnsi="Arial" w:cs="Arial"/>
      <w:color w:val="FFFFFF"/>
    </w:rPr>
    <w:tblPr>
      <w:tblStyleRowBandSize w:val="1"/>
      <w:tblStyleColBandSize w:val="1"/>
    </w:tbl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2">
    <w:name w:val="Dark List Accent 3"/>
    <w:basedOn w:val="a3"/>
    <w:uiPriority w:val="70"/>
    <w:pPr>
      <w:spacing w:after="0" w:line="240" w:lineRule="auto"/>
    </w:pPr>
    <w:rPr>
      <w:rFonts w:ascii="Arial" w:eastAsia="Arial" w:hAnsi="Arial" w:cs="Arial"/>
      <w:color w:val="FFFFFF"/>
    </w:rPr>
    <w:tblPr>
      <w:tblStyleRowBandSize w:val="1"/>
      <w:tblStyleColBandSize w:val="1"/>
    </w:tbl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2">
    <w:name w:val="Dark List Accent 4"/>
    <w:basedOn w:val="a3"/>
    <w:uiPriority w:val="70"/>
    <w:pPr>
      <w:spacing w:after="0" w:line="240" w:lineRule="auto"/>
    </w:pPr>
    <w:rPr>
      <w:rFonts w:ascii="Arial" w:eastAsia="Arial" w:hAnsi="Arial" w:cs="Arial"/>
      <w:color w:val="FFFFFF"/>
    </w:rPr>
    <w:tblPr>
      <w:tblStyleRowBandSize w:val="1"/>
      <w:tblStyleColBandSize w:val="1"/>
    </w:tbl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2">
    <w:name w:val="Dark List Accent 5"/>
    <w:basedOn w:val="a3"/>
    <w:uiPriority w:val="70"/>
    <w:pPr>
      <w:spacing w:after="0" w:line="240" w:lineRule="auto"/>
    </w:pPr>
    <w:rPr>
      <w:rFonts w:ascii="Arial" w:eastAsia="Arial" w:hAnsi="Arial" w:cs="Arial"/>
      <w:color w:val="FFFFFF"/>
    </w:rPr>
    <w:tblPr>
      <w:tblStyleRowBandSize w:val="1"/>
      <w:tblStyleColBandSize w:val="1"/>
    </w:tbl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2">
    <w:name w:val="Dark List Accent 6"/>
    <w:basedOn w:val="a3"/>
    <w:uiPriority w:val="70"/>
    <w:pPr>
      <w:spacing w:after="0" w:line="240" w:lineRule="auto"/>
    </w:pPr>
    <w:rPr>
      <w:rFonts w:ascii="Arial" w:eastAsia="Arial" w:hAnsi="Arial" w:cs="Arial"/>
      <w:color w:val="FFFFFF"/>
    </w:rPr>
    <w:tblPr>
      <w:tblStyleRowBandSize w:val="1"/>
      <w:tblStyleColBandSize w:val="1"/>
    </w:tbl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a">
    <w:name w:val="Colorful Shading"/>
    <w:basedOn w:val="a3"/>
    <w:uiPriority w:val="71"/>
    <w:pPr>
      <w:spacing w:after="0" w:line="240" w:lineRule="auto"/>
    </w:pPr>
    <w:rPr>
      <w:rFonts w:ascii="Arial" w:eastAsia="Arial" w:hAnsi="Arial" w:cs="Arial"/>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blStylePr w:type="firstRow">
      <w:rPr>
        <w:b/>
      </w:rPr>
      <w:tblPr/>
      <w:tcPr>
        <w:tcBorders>
          <w:top w:val="nil"/>
          <w:left w:val="nil"/>
          <w:bottom w:val="single" w:sz="24" w:space="0" w:color="C0504D"/>
          <w:right w:val="nil"/>
          <w:insideH w:val="nil"/>
          <w:insideV w:val="nil"/>
        </w:tcBorders>
        <w:shd w:val="clear" w:color="auto" w:fill="FFFFFF"/>
      </w:tcPr>
    </w:tblStylePr>
    <w:tblStylePr w:type="lastRow">
      <w:rPr>
        <w:b/>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wCell">
      <w:rPr>
        <w:color w:val="000000"/>
      </w:rPr>
    </w:tblStylePr>
    <w:tblStylePr w:type="swCell">
      <w:rPr>
        <w:color w:val="000000"/>
      </w:rPr>
    </w:tblStylePr>
  </w:style>
  <w:style w:type="table" w:styleId="-13">
    <w:name w:val="Colorful Shading Accent 1"/>
    <w:basedOn w:val="a3"/>
    <w:uiPriority w:val="71"/>
    <w:pPr>
      <w:spacing w:after="0" w:line="240" w:lineRule="auto"/>
    </w:pPr>
    <w:rPr>
      <w:rFonts w:ascii="Arial" w:eastAsia="Arial" w:hAnsi="Arial" w:cs="Arial"/>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blStylePr w:type="firstRow">
      <w:rPr>
        <w:b/>
      </w:rPr>
      <w:tblPr/>
      <w:tcPr>
        <w:tcBorders>
          <w:top w:val="nil"/>
          <w:left w:val="nil"/>
          <w:bottom w:val="single" w:sz="24" w:space="0" w:color="C0504D"/>
          <w:right w:val="nil"/>
          <w:insideH w:val="nil"/>
          <w:insideV w:val="nil"/>
        </w:tcBorders>
        <w:shd w:val="clear" w:color="auto" w:fill="FFFFFF"/>
      </w:tcPr>
    </w:tblStylePr>
    <w:tblStylePr w:type="lastRow">
      <w:rPr>
        <w:b/>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wCell">
      <w:rPr>
        <w:color w:val="000000"/>
      </w:rPr>
    </w:tblStylePr>
    <w:tblStylePr w:type="swCell">
      <w:rPr>
        <w:color w:val="000000"/>
      </w:rPr>
    </w:tblStylePr>
  </w:style>
  <w:style w:type="table" w:styleId="-23">
    <w:name w:val="Colorful Shading Accent 2"/>
    <w:basedOn w:val="a3"/>
    <w:uiPriority w:val="71"/>
    <w:pPr>
      <w:spacing w:after="0" w:line="240" w:lineRule="auto"/>
    </w:pPr>
    <w:rPr>
      <w:rFonts w:ascii="Arial" w:eastAsia="Arial" w:hAnsi="Arial" w:cs="Arial"/>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blStylePr w:type="firstRow">
      <w:rPr>
        <w:b/>
      </w:rPr>
      <w:tblPr/>
      <w:tcPr>
        <w:tcBorders>
          <w:top w:val="nil"/>
          <w:left w:val="nil"/>
          <w:bottom w:val="single" w:sz="24" w:space="0" w:color="C0504D"/>
          <w:right w:val="nil"/>
          <w:insideH w:val="nil"/>
          <w:insideV w:val="nil"/>
        </w:tcBorders>
        <w:shd w:val="clear" w:color="auto" w:fill="FFFFFF"/>
      </w:tcPr>
    </w:tblStylePr>
    <w:tblStylePr w:type="lastRow">
      <w:rPr>
        <w:b/>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rPr>
        <w:color w:val="000000"/>
      </w:rPr>
    </w:tblStylePr>
    <w:tblStylePr w:type="swCell">
      <w:rPr>
        <w:color w:val="000000"/>
      </w:rPr>
    </w:tblStylePr>
  </w:style>
  <w:style w:type="table" w:styleId="-33">
    <w:name w:val="Colorful Shading Accent 3"/>
    <w:basedOn w:val="a3"/>
    <w:uiPriority w:val="71"/>
    <w:pPr>
      <w:spacing w:after="0" w:line="240" w:lineRule="auto"/>
    </w:pPr>
    <w:rPr>
      <w:rFonts w:ascii="Arial" w:eastAsia="Arial" w:hAnsi="Arial" w:cs="Arial"/>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blStylePr w:type="firstRow">
      <w:rPr>
        <w:b/>
      </w:rPr>
      <w:tblPr/>
      <w:tcPr>
        <w:tcBorders>
          <w:top w:val="nil"/>
          <w:left w:val="nil"/>
          <w:bottom w:val="single" w:sz="24" w:space="0" w:color="8064A2"/>
          <w:right w:val="nil"/>
          <w:insideH w:val="nil"/>
          <w:insideV w:val="nil"/>
        </w:tcBorders>
        <w:shd w:val="clear" w:color="auto" w:fill="FFFFFF"/>
      </w:tcPr>
    </w:tblStylePr>
    <w:tblStylePr w:type="lastRow">
      <w:rPr>
        <w:b/>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3">
    <w:name w:val="Colorful Shading Accent 4"/>
    <w:basedOn w:val="a3"/>
    <w:uiPriority w:val="71"/>
    <w:pPr>
      <w:spacing w:after="0" w:line="240" w:lineRule="auto"/>
    </w:pPr>
    <w:rPr>
      <w:rFonts w:ascii="Arial" w:eastAsia="Arial" w:hAnsi="Arial" w:cs="Arial"/>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blStylePr w:type="firstRow">
      <w:rPr>
        <w:b/>
      </w:rPr>
      <w:tblPr/>
      <w:tcPr>
        <w:tcBorders>
          <w:top w:val="nil"/>
          <w:left w:val="nil"/>
          <w:bottom w:val="single" w:sz="24" w:space="0" w:color="9BBB59"/>
          <w:right w:val="nil"/>
          <w:insideH w:val="nil"/>
          <w:insideV w:val="nil"/>
        </w:tcBorders>
        <w:shd w:val="clear" w:color="auto" w:fill="FFFFFF"/>
      </w:tcPr>
    </w:tblStylePr>
    <w:tblStylePr w:type="lastRow">
      <w:rPr>
        <w:b/>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wCell">
      <w:rPr>
        <w:color w:val="000000"/>
      </w:rPr>
    </w:tblStylePr>
    <w:tblStylePr w:type="swCell">
      <w:rPr>
        <w:color w:val="000000"/>
      </w:rPr>
    </w:tblStylePr>
  </w:style>
  <w:style w:type="table" w:styleId="-53">
    <w:name w:val="Colorful Shading Accent 5"/>
    <w:basedOn w:val="a3"/>
    <w:uiPriority w:val="71"/>
    <w:pPr>
      <w:spacing w:after="0" w:line="240" w:lineRule="auto"/>
    </w:pPr>
    <w:rPr>
      <w:rFonts w:ascii="Arial" w:eastAsia="Arial" w:hAnsi="Arial" w:cs="Arial"/>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blStylePr w:type="firstRow">
      <w:rPr>
        <w:b/>
      </w:rPr>
      <w:tblPr/>
      <w:tcPr>
        <w:tcBorders>
          <w:top w:val="nil"/>
          <w:left w:val="nil"/>
          <w:bottom w:val="single" w:sz="24" w:space="0" w:color="F79646"/>
          <w:right w:val="nil"/>
          <w:insideH w:val="nil"/>
          <w:insideV w:val="nil"/>
        </w:tcBorders>
        <w:shd w:val="clear" w:color="auto" w:fill="FFFFFF"/>
      </w:tcPr>
    </w:tblStylePr>
    <w:tblStylePr w:type="lastRow">
      <w:rPr>
        <w:b/>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wCell">
      <w:rPr>
        <w:color w:val="000000"/>
      </w:rPr>
    </w:tblStylePr>
    <w:tblStylePr w:type="swCell">
      <w:rPr>
        <w:color w:val="000000"/>
      </w:rPr>
    </w:tblStylePr>
  </w:style>
  <w:style w:type="table" w:styleId="-63">
    <w:name w:val="Colorful Shading Accent 6"/>
    <w:basedOn w:val="a3"/>
    <w:uiPriority w:val="71"/>
    <w:pPr>
      <w:spacing w:after="0" w:line="240" w:lineRule="auto"/>
    </w:pPr>
    <w:rPr>
      <w:rFonts w:ascii="Arial" w:eastAsia="Arial" w:hAnsi="Arial" w:cs="Arial"/>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blStylePr w:type="firstRow">
      <w:rPr>
        <w:b/>
      </w:rPr>
      <w:tblPr/>
      <w:tcPr>
        <w:tcBorders>
          <w:top w:val="nil"/>
          <w:left w:val="nil"/>
          <w:bottom w:val="single" w:sz="24" w:space="0" w:color="4BACC6"/>
          <w:right w:val="nil"/>
          <w:insideH w:val="nil"/>
          <w:insideV w:val="nil"/>
        </w:tcBorders>
        <w:shd w:val="clear" w:color="auto" w:fill="FFFFFF"/>
      </w:tcPr>
    </w:tblStylePr>
    <w:tblStylePr w:type="lastRow">
      <w:rPr>
        <w:b/>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wCell">
      <w:rPr>
        <w:color w:val="000000"/>
      </w:rPr>
    </w:tblStylePr>
    <w:tblStylePr w:type="swCell">
      <w:rPr>
        <w:color w:val="000000"/>
      </w:rPr>
    </w:tblStylePr>
  </w:style>
  <w:style w:type="table" w:styleId="afb">
    <w:name w:val="Colorful List"/>
    <w:basedOn w:val="a3"/>
    <w:uiPriority w:val="72"/>
    <w:pPr>
      <w:spacing w:after="0" w:line="240" w:lineRule="auto"/>
    </w:pPr>
    <w:rPr>
      <w:rFonts w:ascii="Arial" w:eastAsia="Arial" w:hAnsi="Arial" w:cs="Arial"/>
      <w:color w:val="000000"/>
    </w:rPr>
    <w:tblPr>
      <w:tblStyleRowBandSize w:val="1"/>
      <w:tblStyleColBandSize w:val="1"/>
    </w:tblPr>
    <w:tblStylePr w:type="firstRow">
      <w:rPr>
        <w:b/>
        <w:color w:val="FFFFFF"/>
      </w:rPr>
      <w:tblPr/>
      <w:tcPr>
        <w:tcBorders>
          <w:bottom w:val="single" w:sz="12" w:space="0" w:color="FFFFFF"/>
        </w:tcBorders>
        <w:shd w:val="clear" w:color="auto" w:fill="9E3A38"/>
      </w:tcPr>
    </w:tblStylePr>
    <w:tblStylePr w:type="lastRow">
      <w:rPr>
        <w:b/>
        <w:color w:val="9E3A38"/>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4">
    <w:name w:val="Colorful List Accent 1"/>
    <w:basedOn w:val="a3"/>
    <w:uiPriority w:val="72"/>
    <w:pPr>
      <w:spacing w:after="0" w:line="240" w:lineRule="auto"/>
    </w:pPr>
    <w:rPr>
      <w:rFonts w:ascii="Arial" w:eastAsia="Arial" w:hAnsi="Arial" w:cs="Arial"/>
      <w:color w:val="000000"/>
    </w:rPr>
    <w:tblPr>
      <w:tblStyleRowBandSize w:val="1"/>
      <w:tblStyleColBandSize w:val="1"/>
    </w:tblPr>
    <w:tblStylePr w:type="firstRow">
      <w:rPr>
        <w:b/>
        <w:color w:val="FFFFFF"/>
      </w:rPr>
      <w:tblPr/>
      <w:tcPr>
        <w:tcBorders>
          <w:bottom w:val="single" w:sz="12" w:space="0" w:color="FFFFFF"/>
        </w:tcBorders>
        <w:shd w:val="clear" w:color="auto" w:fill="9E3A38"/>
      </w:tcPr>
    </w:tblStylePr>
    <w:tblStylePr w:type="lastRow">
      <w:rPr>
        <w:b/>
        <w:color w:val="9E3A38"/>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4">
    <w:name w:val="Colorful List Accent 2"/>
    <w:basedOn w:val="a3"/>
    <w:uiPriority w:val="72"/>
    <w:pPr>
      <w:spacing w:after="0" w:line="240" w:lineRule="auto"/>
    </w:pPr>
    <w:rPr>
      <w:rFonts w:ascii="Arial" w:eastAsia="Arial" w:hAnsi="Arial" w:cs="Arial"/>
      <w:color w:val="000000"/>
    </w:rPr>
    <w:tblPr>
      <w:tblStyleRowBandSize w:val="1"/>
      <w:tblStyleColBandSize w:val="1"/>
    </w:tblPr>
    <w:tblStylePr w:type="firstRow">
      <w:rPr>
        <w:b/>
        <w:color w:val="FFFFFF"/>
      </w:rPr>
      <w:tblPr/>
      <w:tcPr>
        <w:tcBorders>
          <w:bottom w:val="single" w:sz="12" w:space="0" w:color="FFFFFF"/>
        </w:tcBorders>
        <w:shd w:val="clear" w:color="auto" w:fill="9E3A38"/>
      </w:tcPr>
    </w:tblStylePr>
    <w:tblStylePr w:type="lastRow">
      <w:rPr>
        <w:b/>
        <w:color w:val="9E3A38"/>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4">
    <w:name w:val="Colorful List Accent 3"/>
    <w:basedOn w:val="a3"/>
    <w:uiPriority w:val="72"/>
    <w:pPr>
      <w:spacing w:after="0" w:line="240" w:lineRule="auto"/>
    </w:pPr>
    <w:rPr>
      <w:rFonts w:ascii="Arial" w:eastAsia="Arial" w:hAnsi="Arial" w:cs="Arial"/>
      <w:color w:val="000000"/>
    </w:rPr>
    <w:tblPr>
      <w:tblStyleRowBandSize w:val="1"/>
      <w:tblStyleColBandSize w:val="1"/>
    </w:tblPr>
    <w:tblStylePr w:type="firstRow">
      <w:rPr>
        <w:b/>
        <w:color w:val="FFFFFF"/>
      </w:rPr>
      <w:tblPr/>
      <w:tcPr>
        <w:tcBorders>
          <w:bottom w:val="single" w:sz="12" w:space="0" w:color="FFFFFF"/>
        </w:tcBorders>
        <w:shd w:val="clear" w:color="auto" w:fill="664E82"/>
      </w:tcPr>
    </w:tblStylePr>
    <w:tblStylePr w:type="lastRow">
      <w:rPr>
        <w:b/>
        <w:color w:val="664E82"/>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4">
    <w:name w:val="Colorful List Accent 4"/>
    <w:basedOn w:val="a3"/>
    <w:uiPriority w:val="72"/>
    <w:pPr>
      <w:spacing w:after="0" w:line="240" w:lineRule="auto"/>
    </w:pPr>
    <w:rPr>
      <w:rFonts w:ascii="Arial" w:eastAsia="Arial" w:hAnsi="Arial" w:cs="Arial"/>
      <w:color w:val="000000"/>
    </w:rPr>
    <w:tblPr>
      <w:tblStyleRowBandSize w:val="1"/>
      <w:tblStyleColBandSize w:val="1"/>
    </w:tblPr>
    <w:tblStylePr w:type="firstRow">
      <w:rPr>
        <w:b/>
        <w:color w:val="FFFFFF"/>
      </w:rPr>
      <w:tblPr/>
      <w:tcPr>
        <w:tcBorders>
          <w:bottom w:val="single" w:sz="12" w:space="0" w:color="FFFFFF"/>
        </w:tcBorders>
        <w:shd w:val="clear" w:color="auto" w:fill="7E9C40"/>
      </w:tcPr>
    </w:tblStylePr>
    <w:tblStylePr w:type="lastRow">
      <w:rPr>
        <w:b/>
        <w:color w:val="7E9C40"/>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4">
    <w:name w:val="Colorful List Accent 5"/>
    <w:basedOn w:val="a3"/>
    <w:uiPriority w:val="72"/>
    <w:pPr>
      <w:spacing w:after="0" w:line="240" w:lineRule="auto"/>
    </w:pPr>
    <w:rPr>
      <w:rFonts w:ascii="Arial" w:eastAsia="Arial" w:hAnsi="Arial" w:cs="Arial"/>
      <w:color w:val="000000"/>
    </w:rPr>
    <w:tblPr>
      <w:tblStyleRowBandSize w:val="1"/>
      <w:tblStyleColBandSize w:val="1"/>
    </w:tblPr>
    <w:tblStylePr w:type="firstRow">
      <w:rPr>
        <w:b/>
        <w:color w:val="FFFFFF"/>
      </w:rPr>
      <w:tblPr/>
      <w:tcPr>
        <w:tcBorders>
          <w:bottom w:val="single" w:sz="12" w:space="0" w:color="FFFFFF"/>
        </w:tcBorders>
        <w:shd w:val="clear" w:color="auto" w:fill="F2730A"/>
      </w:tcPr>
    </w:tblStylePr>
    <w:tblStylePr w:type="lastRow">
      <w:rPr>
        <w:b/>
        <w:color w:val="F2730A"/>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4">
    <w:name w:val="Colorful List Accent 6"/>
    <w:basedOn w:val="a3"/>
    <w:uiPriority w:val="72"/>
    <w:pPr>
      <w:spacing w:after="0" w:line="240" w:lineRule="auto"/>
    </w:pPr>
    <w:rPr>
      <w:rFonts w:ascii="Arial" w:eastAsia="Arial" w:hAnsi="Arial" w:cs="Arial"/>
      <w:color w:val="000000"/>
    </w:rPr>
    <w:tblPr>
      <w:tblStyleRowBandSize w:val="1"/>
      <w:tblStyleColBandSize w:val="1"/>
    </w:tblPr>
    <w:tblStylePr w:type="firstRow">
      <w:rPr>
        <w:b/>
        <w:color w:val="FFFFFF"/>
      </w:rPr>
      <w:tblPr/>
      <w:tcPr>
        <w:tcBorders>
          <w:bottom w:val="single" w:sz="12" w:space="0" w:color="FFFFFF"/>
        </w:tcBorders>
        <w:shd w:val="clear" w:color="auto" w:fill="348DA5"/>
      </w:tcPr>
    </w:tblStylePr>
    <w:tblStylePr w:type="lastRow">
      <w:rPr>
        <w:b/>
        <w:color w:val="348DA5"/>
      </w:rPr>
      <w:tblPr/>
      <w:tcPr>
        <w:tcBorders>
          <w:top w:val="single" w:sz="12" w:space="0" w:color="000000"/>
        </w:tcBorders>
        <w:shd w:val="clear" w:color="auto" w:fill="FFFFFF"/>
      </w:tcPr>
    </w:tblStylePr>
    <w:tblStylePr w:type="firstCol">
      <w:rPr>
        <w:b/>
      </w:rPr>
    </w:tblStylePr>
    <w:tblStylePr w:type="lastCol">
      <w:rPr>
        <w:b/>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c">
    <w:name w:val="Colorful Grid"/>
    <w:basedOn w:val="a3"/>
    <w:uiPriority w:val="73"/>
    <w:pPr>
      <w:spacing w:after="0" w:line="240" w:lineRule="auto"/>
    </w:pPr>
    <w:rPr>
      <w:rFonts w:ascii="Arial" w:eastAsia="Arial" w:hAnsi="Arial" w:cs="Arial"/>
      <w:color w:val="000000"/>
    </w:rPr>
    <w:tblPr>
      <w:tblStyleRowBandSize w:val="1"/>
      <w:tblStyleColBandSize w:val="1"/>
      <w:tblBorders>
        <w:insideH w:val="single" w:sz="4" w:space="0" w:color="FFFFFF"/>
      </w:tblBorders>
    </w:tblPr>
    <w:tblStylePr w:type="firstRow">
      <w:rPr>
        <w:b/>
      </w:rPr>
      <w:tblPr/>
      <w:tcPr>
        <w:shd w:val="clear" w:color="auto" w:fill="999999"/>
      </w:tcPr>
    </w:tblStylePr>
    <w:tblStylePr w:type="lastRow">
      <w:rPr>
        <w:b/>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5">
    <w:name w:val="Colorful Grid Accent 1"/>
    <w:basedOn w:val="a3"/>
    <w:uiPriority w:val="73"/>
    <w:pPr>
      <w:spacing w:after="0" w:line="240" w:lineRule="auto"/>
    </w:pPr>
    <w:rPr>
      <w:rFonts w:ascii="Arial" w:eastAsia="Arial" w:hAnsi="Arial" w:cs="Arial"/>
      <w:color w:val="000000"/>
    </w:rPr>
    <w:tblPr>
      <w:tblStyleRowBandSize w:val="1"/>
      <w:tblStyleColBandSize w:val="1"/>
      <w:tblBorders>
        <w:insideH w:val="single" w:sz="4" w:space="0" w:color="FFFFFF"/>
      </w:tblBorders>
    </w:tblPr>
    <w:tblStylePr w:type="firstRow">
      <w:rPr>
        <w:b/>
      </w:rPr>
      <w:tblPr/>
      <w:tcPr>
        <w:shd w:val="clear" w:color="auto" w:fill="B8CCE4"/>
      </w:tcPr>
    </w:tblStylePr>
    <w:tblStylePr w:type="lastRow">
      <w:rPr>
        <w:b/>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5">
    <w:name w:val="Colorful Grid Accent 2"/>
    <w:basedOn w:val="a3"/>
    <w:uiPriority w:val="73"/>
    <w:pPr>
      <w:spacing w:after="0" w:line="240" w:lineRule="auto"/>
    </w:pPr>
    <w:rPr>
      <w:rFonts w:ascii="Arial" w:eastAsia="Arial" w:hAnsi="Arial" w:cs="Arial"/>
      <w:color w:val="000000"/>
    </w:rPr>
    <w:tblPr>
      <w:tblStyleRowBandSize w:val="1"/>
      <w:tblStyleColBandSize w:val="1"/>
      <w:tblBorders>
        <w:insideH w:val="single" w:sz="4" w:space="0" w:color="FFFFFF"/>
      </w:tblBorders>
    </w:tblPr>
    <w:tblStylePr w:type="firstRow">
      <w:rPr>
        <w:b/>
      </w:rPr>
      <w:tblPr/>
      <w:tcPr>
        <w:shd w:val="clear" w:color="auto" w:fill="E5B8B7"/>
      </w:tcPr>
    </w:tblStylePr>
    <w:tblStylePr w:type="lastRow">
      <w:rPr>
        <w:b/>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5">
    <w:name w:val="Colorful Grid Accent 3"/>
    <w:basedOn w:val="a3"/>
    <w:uiPriority w:val="73"/>
    <w:pPr>
      <w:spacing w:after="0" w:line="240" w:lineRule="auto"/>
    </w:pPr>
    <w:rPr>
      <w:rFonts w:ascii="Arial" w:eastAsia="Arial" w:hAnsi="Arial" w:cs="Arial"/>
      <w:color w:val="000000"/>
    </w:rPr>
    <w:tblPr>
      <w:tblStyleRowBandSize w:val="1"/>
      <w:tblStyleColBandSize w:val="1"/>
      <w:tblBorders>
        <w:insideH w:val="single" w:sz="4" w:space="0" w:color="FFFFFF"/>
      </w:tblBorders>
    </w:tblPr>
    <w:tblStylePr w:type="firstRow">
      <w:rPr>
        <w:b/>
      </w:rPr>
      <w:tblPr/>
      <w:tcPr>
        <w:shd w:val="clear" w:color="auto" w:fill="D6E3BC"/>
      </w:tcPr>
    </w:tblStylePr>
    <w:tblStylePr w:type="lastRow">
      <w:rPr>
        <w:b/>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5">
    <w:name w:val="Colorful Grid Accent 4"/>
    <w:basedOn w:val="a3"/>
    <w:uiPriority w:val="73"/>
    <w:pPr>
      <w:spacing w:after="0" w:line="240" w:lineRule="auto"/>
    </w:pPr>
    <w:rPr>
      <w:rFonts w:ascii="Arial" w:eastAsia="Arial" w:hAnsi="Arial" w:cs="Arial"/>
      <w:color w:val="000000"/>
    </w:rPr>
    <w:tblPr>
      <w:tblStyleRowBandSize w:val="1"/>
      <w:tblStyleColBandSize w:val="1"/>
      <w:tblBorders>
        <w:insideH w:val="single" w:sz="4" w:space="0" w:color="FFFFFF"/>
      </w:tblBorders>
    </w:tblPr>
    <w:tblStylePr w:type="firstRow">
      <w:rPr>
        <w:b/>
      </w:rPr>
      <w:tblPr/>
      <w:tcPr>
        <w:shd w:val="clear" w:color="auto" w:fill="CCC0D9"/>
      </w:tcPr>
    </w:tblStylePr>
    <w:tblStylePr w:type="lastRow">
      <w:rPr>
        <w:b/>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5">
    <w:name w:val="Colorful Grid Accent 5"/>
    <w:basedOn w:val="a3"/>
    <w:uiPriority w:val="73"/>
    <w:pPr>
      <w:spacing w:after="0" w:line="240" w:lineRule="auto"/>
    </w:pPr>
    <w:rPr>
      <w:rFonts w:ascii="Arial" w:eastAsia="Arial" w:hAnsi="Arial" w:cs="Arial"/>
      <w:color w:val="000000"/>
    </w:rPr>
    <w:tblPr>
      <w:tblStyleRowBandSize w:val="1"/>
      <w:tblStyleColBandSize w:val="1"/>
      <w:tblBorders>
        <w:insideH w:val="single" w:sz="4" w:space="0" w:color="FFFFFF"/>
      </w:tblBorders>
    </w:tblPr>
    <w:tblStylePr w:type="firstRow">
      <w:rPr>
        <w:b/>
      </w:rPr>
      <w:tblPr/>
      <w:tcPr>
        <w:shd w:val="clear" w:color="auto" w:fill="B6DDE8"/>
      </w:tcPr>
    </w:tblStylePr>
    <w:tblStylePr w:type="lastRow">
      <w:rPr>
        <w:b/>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5">
    <w:name w:val="Colorful Grid Accent 6"/>
    <w:basedOn w:val="a3"/>
    <w:uiPriority w:val="73"/>
    <w:pPr>
      <w:spacing w:after="0" w:line="240" w:lineRule="auto"/>
    </w:pPr>
    <w:rPr>
      <w:rFonts w:ascii="Arial" w:eastAsia="Arial" w:hAnsi="Arial" w:cs="Arial"/>
      <w:color w:val="000000"/>
    </w:rPr>
    <w:tblPr>
      <w:tblStyleRowBandSize w:val="1"/>
      <w:tblStyleColBandSize w:val="1"/>
      <w:tblBorders>
        <w:insideH w:val="single" w:sz="4" w:space="0" w:color="FFFFFF"/>
      </w:tblBorders>
    </w:tblPr>
    <w:tblStylePr w:type="firstRow">
      <w:rPr>
        <w:b/>
      </w:rPr>
      <w:tblPr/>
      <w:tcPr>
        <w:shd w:val="clear" w:color="auto" w:fill="FBD4B4"/>
      </w:tcPr>
    </w:tblStylePr>
    <w:tblStylePr w:type="lastRow">
      <w:rPr>
        <w:b/>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afd">
    <w:name w:val="annotation reference"/>
    <w:basedOn w:val="a2"/>
    <w:uiPriority w:val="99"/>
    <w:semiHidden/>
    <w:unhideWhenUsed/>
    <w:rPr>
      <w:sz w:val="18"/>
    </w:rPr>
  </w:style>
  <w:style w:type="paragraph" w:styleId="afe">
    <w:name w:val="annotation subject"/>
    <w:basedOn w:val="aff"/>
    <w:uiPriority w:val="99"/>
    <w:semiHidden/>
    <w:unhideWhenUsed/>
    <w:rPr>
      <w:b/>
    </w:rPr>
  </w:style>
  <w:style w:type="paragraph" w:styleId="aff">
    <w:name w:val="annotation text"/>
    <w:basedOn w:val="a1"/>
    <w:uiPriority w:val="99"/>
    <w:unhideWhenUsed/>
  </w:style>
  <w:style w:type="paragraph" w:styleId="aff0">
    <w:name w:val="Body Text"/>
    <w:basedOn w:val="a1"/>
    <w:uiPriority w:val="99"/>
    <w:unhideWhenUsed/>
    <w:pPr>
      <w:spacing w:after="120"/>
    </w:pPr>
  </w:style>
  <w:style w:type="paragraph" w:styleId="25">
    <w:name w:val="Body Text 2"/>
    <w:basedOn w:val="a1"/>
    <w:uiPriority w:val="99"/>
    <w:unhideWhenUsed/>
    <w:pPr>
      <w:spacing w:after="120" w:line="480" w:lineRule="auto"/>
    </w:pPr>
  </w:style>
  <w:style w:type="paragraph" w:styleId="33">
    <w:name w:val="Body Text 3"/>
    <w:basedOn w:val="a1"/>
    <w:uiPriority w:val="99"/>
    <w:unhideWhenUsed/>
    <w:pPr>
      <w:spacing w:after="120"/>
    </w:pPr>
    <w:rPr>
      <w:sz w:val="16"/>
    </w:rPr>
  </w:style>
  <w:style w:type="character" w:customStyle="1" w:styleId="CommentReference0">
    <w:name w:val="Comment Reference_0"/>
    <w:basedOn w:val="a2"/>
    <w:uiPriority w:val="99"/>
    <w:semiHidden/>
    <w:unhideWhenUsed/>
    <w:rPr>
      <w:sz w:val="16"/>
    </w:rPr>
  </w:style>
  <w:style w:type="paragraph" w:customStyle="1" w:styleId="CommentText0">
    <w:name w:val="Comment Text_0"/>
    <w:basedOn w:val="a1"/>
    <w:uiPriority w:val="99"/>
    <w:semiHidden/>
    <w:unhideWhenUsed/>
    <w:pPr>
      <w:spacing w:after="0"/>
    </w:pPr>
    <w:rPr>
      <w:rFonts w:ascii="Calibri" w:eastAsia="Calibri" w:hAnsi="Calibri" w:cs="Calibri"/>
      <w:sz w:val="20"/>
    </w:rPr>
  </w:style>
  <w:style w:type="character" w:customStyle="1" w:styleId="EndnoteReference1">
    <w:name w:val="Endnote Reference1"/>
    <w:basedOn w:val="a2"/>
    <w:uiPriority w:val="99"/>
    <w:semiHidden/>
    <w:unhideWhenUsed/>
    <w:rPr>
      <w:vertAlign w:val="superscript"/>
    </w:rPr>
  </w:style>
  <w:style w:type="paragraph" w:customStyle="1" w:styleId="EndnoteText1">
    <w:name w:val="Endnote Text1"/>
    <w:basedOn w:val="a1"/>
    <w:uiPriority w:val="99"/>
    <w:semiHidden/>
    <w:unhideWhenUsed/>
    <w:rPr>
      <w:rFonts w:ascii="Calibri" w:eastAsia="Calibri" w:hAnsi="Calibri" w:cs="Calibri"/>
    </w:rPr>
  </w:style>
  <w:style w:type="paragraph" w:styleId="aff1">
    <w:name w:val="footer"/>
    <w:basedOn w:val="a1"/>
    <w:uiPriority w:val="99"/>
    <w:unhideWhenUsed/>
    <w:pPr>
      <w:tabs>
        <w:tab w:val="center" w:pos="4680"/>
        <w:tab w:val="right" w:pos="9360"/>
      </w:tabs>
      <w:spacing w:after="0" w:line="240" w:lineRule="auto"/>
    </w:pPr>
  </w:style>
  <w:style w:type="character" w:customStyle="1" w:styleId="FootnoteReference1">
    <w:name w:val="Footnote Reference1"/>
    <w:basedOn w:val="a2"/>
    <w:uiPriority w:val="99"/>
    <w:semiHidden/>
    <w:unhideWhenUsed/>
    <w:rPr>
      <w:vertAlign w:val="superscript"/>
    </w:rPr>
  </w:style>
  <w:style w:type="paragraph" w:customStyle="1" w:styleId="FootnoteText1">
    <w:name w:val="Footnote Text1"/>
    <w:basedOn w:val="a1"/>
    <w:uiPriority w:val="99"/>
    <w:semiHidden/>
    <w:unhideWhenUsed/>
    <w:rPr>
      <w:rFonts w:ascii="Calibri" w:eastAsia="Calibri" w:hAnsi="Calibri" w:cs="Calibri"/>
    </w:rPr>
  </w:style>
  <w:style w:type="paragraph" w:styleId="aff2">
    <w:name w:val="header"/>
    <w:basedOn w:val="a1"/>
    <w:uiPriority w:val="99"/>
    <w:unhideWhenUsed/>
    <w:pPr>
      <w:tabs>
        <w:tab w:val="center" w:pos="4680"/>
        <w:tab w:val="right" w:pos="9360"/>
      </w:tabs>
      <w:spacing w:after="0" w:line="240" w:lineRule="auto"/>
    </w:pPr>
  </w:style>
  <w:style w:type="character" w:styleId="aff3">
    <w:name w:val="line number"/>
    <w:basedOn w:val="a2"/>
    <w:uiPriority w:val="99"/>
    <w:semiHidden/>
    <w:unhideWhenUsed/>
  </w:style>
  <w:style w:type="paragraph" w:styleId="aff4">
    <w:name w:val="List"/>
    <w:basedOn w:val="a1"/>
    <w:uiPriority w:val="99"/>
    <w:unhideWhenUsed/>
    <w:pPr>
      <w:ind w:left="360" w:hanging="360"/>
      <w:contextualSpacing/>
    </w:pPr>
  </w:style>
  <w:style w:type="paragraph" w:customStyle="1" w:styleId="List1">
    <w:name w:val="List 1"/>
    <w:basedOn w:val="a1"/>
    <w:uiPriority w:val="99"/>
    <w:semiHidden/>
    <w:unhideWhenUsed/>
    <w:pPr>
      <w:ind w:left="1200" w:hanging="600"/>
      <w:jc w:val="both"/>
    </w:pPr>
    <w:rPr>
      <w:rFonts w:ascii="Times New Roman" w:eastAsia="Times New Roman" w:hAnsi="Times New Roman" w:cs="Times New Roman"/>
      <w:sz w:val="22"/>
    </w:rPr>
  </w:style>
  <w:style w:type="paragraph" w:styleId="26">
    <w:name w:val="List 2"/>
    <w:basedOn w:val="a1"/>
    <w:uiPriority w:val="99"/>
    <w:unhideWhenUsed/>
    <w:pPr>
      <w:ind w:left="720" w:hanging="360"/>
      <w:contextualSpacing/>
    </w:pPr>
  </w:style>
  <w:style w:type="paragraph" w:styleId="34">
    <w:name w:val="List 3"/>
    <w:basedOn w:val="a1"/>
    <w:uiPriority w:val="99"/>
    <w:unhideWhenUsed/>
    <w:pPr>
      <w:ind w:left="1080" w:hanging="360"/>
      <w:contextualSpacing/>
    </w:pPr>
  </w:style>
  <w:style w:type="paragraph" w:styleId="40">
    <w:name w:val="List 4"/>
    <w:basedOn w:val="a1"/>
    <w:uiPriority w:val="99"/>
    <w:semiHidden/>
    <w:unhideWhenUsed/>
    <w:pPr>
      <w:spacing w:line="360" w:lineRule="auto"/>
      <w:ind w:left="1600" w:hanging="400"/>
    </w:pPr>
    <w:rPr>
      <w:rFonts w:ascii="Calibri" w:eastAsia="Calibri" w:hAnsi="Calibri" w:cs="Calibri"/>
      <w:sz w:val="22"/>
    </w:rPr>
  </w:style>
  <w:style w:type="paragraph" w:styleId="50">
    <w:name w:val="List 5"/>
    <w:basedOn w:val="a1"/>
    <w:uiPriority w:val="99"/>
    <w:semiHidden/>
    <w:unhideWhenUsed/>
    <w:pPr>
      <w:spacing w:line="360" w:lineRule="auto"/>
      <w:ind w:left="1800" w:hanging="400"/>
    </w:pPr>
    <w:rPr>
      <w:rFonts w:ascii="Calibri" w:eastAsia="Calibri" w:hAnsi="Calibri" w:cs="Calibri"/>
      <w:sz w:val="22"/>
    </w:rPr>
  </w:style>
  <w:style w:type="paragraph" w:customStyle="1" w:styleId="List6">
    <w:name w:val="List 6"/>
    <w:basedOn w:val="a1"/>
    <w:uiPriority w:val="99"/>
    <w:semiHidden/>
    <w:unhideWhenUsed/>
    <w:pPr>
      <w:spacing w:line="360" w:lineRule="auto"/>
      <w:ind w:left="1860" w:hanging="400"/>
    </w:pPr>
    <w:rPr>
      <w:rFonts w:ascii="Calibri" w:eastAsia="Calibri" w:hAnsi="Calibri" w:cs="Calibri"/>
      <w:sz w:val="22"/>
    </w:rPr>
  </w:style>
  <w:style w:type="paragraph" w:customStyle="1" w:styleId="List7">
    <w:name w:val="List 7"/>
    <w:basedOn w:val="a1"/>
    <w:uiPriority w:val="99"/>
    <w:semiHidden/>
    <w:unhideWhenUsed/>
    <w:pPr>
      <w:spacing w:line="360" w:lineRule="auto"/>
      <w:ind w:left="1920" w:hanging="400"/>
    </w:pPr>
    <w:rPr>
      <w:rFonts w:ascii="Calibri" w:eastAsia="Calibri" w:hAnsi="Calibri" w:cs="Calibri"/>
      <w:sz w:val="22"/>
    </w:rPr>
  </w:style>
  <w:style w:type="paragraph" w:customStyle="1" w:styleId="List8">
    <w:name w:val="List 8"/>
    <w:basedOn w:val="a1"/>
    <w:uiPriority w:val="99"/>
    <w:semiHidden/>
    <w:unhideWhenUsed/>
    <w:pPr>
      <w:spacing w:line="360" w:lineRule="auto"/>
      <w:ind w:left="1980" w:hanging="400"/>
    </w:pPr>
    <w:rPr>
      <w:rFonts w:ascii="Calibri" w:eastAsia="Calibri" w:hAnsi="Calibri" w:cs="Calibri"/>
      <w:sz w:val="22"/>
    </w:rPr>
  </w:style>
  <w:style w:type="paragraph" w:customStyle="1" w:styleId="List9">
    <w:name w:val="List 9"/>
    <w:basedOn w:val="a1"/>
    <w:uiPriority w:val="99"/>
    <w:semiHidden/>
    <w:unhideWhenUsed/>
    <w:pPr>
      <w:ind w:left="1200" w:hanging="600"/>
      <w:jc w:val="both"/>
    </w:pPr>
    <w:rPr>
      <w:rFonts w:ascii="Times New Roman" w:eastAsia="Times New Roman" w:hAnsi="Times New Roman" w:cs="Times New Roman"/>
      <w:sz w:val="22"/>
    </w:rPr>
  </w:style>
  <w:style w:type="paragraph" w:styleId="a0">
    <w:name w:val="List Bullet"/>
    <w:basedOn w:val="a1"/>
    <w:uiPriority w:val="99"/>
    <w:unhideWhenUsed/>
    <w:pPr>
      <w:numPr>
        <w:numId w:val="9"/>
      </w:numPr>
      <w:contextualSpacing/>
    </w:pPr>
  </w:style>
  <w:style w:type="paragraph" w:styleId="2">
    <w:name w:val="List Bullet 2"/>
    <w:basedOn w:val="a1"/>
    <w:uiPriority w:val="99"/>
    <w:unhideWhenUsed/>
    <w:pPr>
      <w:numPr>
        <w:numId w:val="7"/>
      </w:numPr>
      <w:contextualSpacing/>
    </w:pPr>
  </w:style>
  <w:style w:type="paragraph" w:styleId="30">
    <w:name w:val="List Bullet 3"/>
    <w:basedOn w:val="a1"/>
    <w:uiPriority w:val="99"/>
    <w:unhideWhenUsed/>
    <w:pPr>
      <w:numPr>
        <w:numId w:val="6"/>
      </w:numPr>
      <w:contextualSpacing/>
    </w:pPr>
  </w:style>
  <w:style w:type="paragraph" w:styleId="aff5">
    <w:name w:val="List Continue"/>
    <w:basedOn w:val="a1"/>
    <w:uiPriority w:val="99"/>
    <w:unhideWhenUsed/>
    <w:pPr>
      <w:spacing w:after="120"/>
      <w:ind w:left="360"/>
      <w:contextualSpacing/>
    </w:pPr>
  </w:style>
  <w:style w:type="paragraph" w:styleId="27">
    <w:name w:val="List Continue 2"/>
    <w:basedOn w:val="a1"/>
    <w:uiPriority w:val="99"/>
    <w:unhideWhenUsed/>
    <w:pPr>
      <w:spacing w:after="120"/>
      <w:ind w:left="720"/>
      <w:contextualSpacing/>
    </w:pPr>
  </w:style>
  <w:style w:type="paragraph" w:styleId="35">
    <w:name w:val="List Continue 3"/>
    <w:basedOn w:val="a1"/>
    <w:uiPriority w:val="99"/>
    <w:unhideWhenUsed/>
    <w:pPr>
      <w:spacing w:after="120"/>
      <w:ind w:left="1080"/>
      <w:contextualSpacing/>
    </w:pPr>
  </w:style>
  <w:style w:type="paragraph" w:styleId="a">
    <w:name w:val="List Number"/>
    <w:basedOn w:val="a1"/>
    <w:uiPriority w:val="99"/>
    <w:unhideWhenUsed/>
    <w:pPr>
      <w:numPr>
        <w:numId w:val="8"/>
      </w:numPr>
      <w:contextualSpacing/>
    </w:pPr>
  </w:style>
  <w:style w:type="paragraph" w:styleId="20">
    <w:name w:val="List Number 2"/>
    <w:basedOn w:val="a1"/>
    <w:uiPriority w:val="99"/>
    <w:unhideWhenUsed/>
    <w:pPr>
      <w:numPr>
        <w:numId w:val="4"/>
      </w:numPr>
      <w:contextualSpacing/>
    </w:pPr>
  </w:style>
  <w:style w:type="paragraph" w:styleId="3">
    <w:name w:val="List Number 3"/>
    <w:basedOn w:val="a1"/>
    <w:uiPriority w:val="99"/>
    <w:unhideWhenUsed/>
    <w:pPr>
      <w:numPr>
        <w:numId w:val="3"/>
      </w:numPr>
      <w:contextualSpacing/>
    </w:pPr>
  </w:style>
  <w:style w:type="paragraph" w:styleId="aff6">
    <w:name w:val="macro"/>
    <w:uiPriority w:val="99"/>
    <w:unhideWhenUsed/>
    <w:pPr>
      <w:tabs>
        <w:tab w:val="left" w:pos="576"/>
        <w:tab w:val="left" w:pos="1152"/>
        <w:tab w:val="left" w:pos="1728"/>
        <w:tab w:val="left" w:pos="2304"/>
        <w:tab w:val="left" w:pos="2880"/>
        <w:tab w:val="left" w:pos="3456"/>
        <w:tab w:val="left" w:pos="4032"/>
      </w:tabs>
    </w:pPr>
    <w:rPr>
      <w:rFonts w:ascii="Arial" w:eastAsia="Arial" w:hAnsi="Arial" w:cs="Arial"/>
      <w:sz w:val="20"/>
    </w:rPr>
  </w:style>
  <w:style w:type="table" w:styleId="28">
    <w:name w:val="Plain Table 2"/>
    <w:basedOn w:val="a3"/>
    <w:uiPriority w:val="99"/>
    <w:pPr>
      <w:spacing w:after="0" w:line="240" w:lineRule="auto"/>
    </w:pPr>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aff7">
    <w:name w:val="Revision"/>
    <w:hidden/>
    <w:uiPriority w:val="99"/>
    <w:semiHidden/>
    <w:rsid w:val="00E44FBA"/>
    <w:pPr>
      <w:spacing w:after="0" w:line="240" w:lineRule="auto"/>
    </w:pPr>
    <w:rPr>
      <w:rFonts w:ascii="Arial" w:eastAsia="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Arial"/>
        <a:font script="Hebr" typeface="Arial"/>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Daye Kim</cp:lastModifiedBy>
  <cp:revision>2</cp:revision>
  <dcterms:created xsi:type="dcterms:W3CDTF">2026-09-07T09:21:00Z</dcterms:created>
  <dcterms:modified xsi:type="dcterms:W3CDTF">2026-09-07T09:21:00Z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JournalID">
    <vt:lpwstr/>
  </property>
  <property fmtid="{D5CDD505-2E9C-101B-9397-08002B2CF9AE}" pid="6" name="Merops -Original extension">
    <vt:lpwstr>docx</vt:lpwstr>
  </property>
  <property fmtid="{D5CDD505-2E9C-101B-9397-08002B2CF9AE}" pid="7" name="Merops change count">
    <vt:lpwstr>0</vt:lpwstr>
  </property>
  <property fmtid="{D5CDD505-2E9C-101B-9397-08002B2CF9AE}" pid="8" name="Merops client version">
    <vt:lpwstr/>
  </property>
  <property fmtid="{D5CDD505-2E9C-101B-9397-08002B2CF9AE}" pid="9" name="Merops comment count">
    <vt:lpwstr>0</vt:lpwstr>
  </property>
  <property fmtid="{D5CDD505-2E9C-101B-9397-08002B2CF9AE}" pid="10" name="Merops DOI links count">
    <vt:lpwstr>0</vt:lpwstr>
  </property>
  <property fmtid="{D5CDD505-2E9C-101B-9397-08002B2CF9AE}" pid="11" name="Merops email addresses count">
    <vt:lpwstr>0</vt:lpwstr>
  </property>
  <property fmtid="{D5CDD505-2E9C-101B-9397-08002B2CF9AE}" pid="12" name="Merops figures count">
    <vt:lpwstr>3</vt:lpwstr>
  </property>
  <property fmtid="{D5CDD505-2E9C-101B-9397-08002B2CF9AE}" pid="13" name="Merops footnotes/endnotes count">
    <vt:lpwstr>0</vt:lpwstr>
  </property>
  <property fmtid="{D5CDD505-2E9C-101B-9397-08002B2CF9AE}" pid="14" name="Merops graphics count">
    <vt:lpwstr>1</vt:lpwstr>
  </property>
  <property fmtid="{D5CDD505-2E9C-101B-9397-08002B2CF9AE}" pid="15" name="Merops input file path">
    <vt:lpwstr>crm_76597476-1a74-4f54-8f93-3ec4b7156c6b.docx</vt:lpwstr>
  </property>
  <property fmtid="{D5CDD505-2E9C-101B-9397-08002B2CF9AE}" pid="16" name="Merops intra-document links count">
    <vt:lpwstr>0</vt:lpwstr>
  </property>
  <property fmtid="{D5CDD505-2E9C-101B-9397-08002B2CF9AE}" pid="17" name="Merops item path">
    <vt:lpwstr>MG-Session/On-20260825/I:771d238d-15ca-4681-a098-9535cb4bedb5</vt:lpwstr>
  </property>
  <property fmtid="{D5CDD505-2E9C-101B-9397-08002B2CF9AE}" pid="18" name="Merops processed date">
    <vt:lpwstr>2026/08/25 06:29:04 AM</vt:lpwstr>
  </property>
  <property fmtid="{D5CDD505-2E9C-101B-9397-08002B2CF9AE}" pid="19" name="Merops PubMed links count">
    <vt:lpwstr>0</vt:lpwstr>
  </property>
  <property fmtid="{D5CDD505-2E9C-101B-9397-08002B2CF9AE}" pid="20" name="Merops references count">
    <vt:lpwstr>0</vt:lpwstr>
  </property>
  <property fmtid="{D5CDD505-2E9C-101B-9397-08002B2CF9AE}" pid="21" name="Merops Scopus links count">
    <vt:lpwstr>0</vt:lpwstr>
  </property>
  <property fmtid="{D5CDD505-2E9C-101B-9397-08002B2CF9AE}" pid="22" name="Merops server path">
    <vt:lpwstr/>
  </property>
  <property fmtid="{D5CDD505-2E9C-101B-9397-08002B2CF9AE}" pid="23" name="Merops Standard Set">
    <vt:lpwstr>merops/preset-v1/biomed-central</vt:lpwstr>
  </property>
  <property fmtid="{D5CDD505-2E9C-101B-9397-08002B2CF9AE}" pid="24" name="Merops Standard Set modified">
    <vt:lpwstr/>
  </property>
  <property fmtid="{D5CDD505-2E9C-101B-9397-08002B2CF9AE}" pid="25" name="Merops tables count">
    <vt:lpwstr>5</vt:lpwstr>
  </property>
  <property fmtid="{D5CDD505-2E9C-101B-9397-08002B2CF9AE}" pid="26" name="Merops word count">
    <vt:lpwstr>979</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ies>
</file>