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2DDF36" w14:textId="77777777" w:rsidR="00586F48" w:rsidRPr="00E601CF" w:rsidRDefault="00586F48" w:rsidP="00586F48">
      <w:pPr>
        <w:spacing w:line="360" w:lineRule="auto"/>
        <w:jc w:val="both"/>
        <w:rPr>
          <w:b/>
          <w:bCs/>
          <w:lang w:val="en-US"/>
        </w:rPr>
      </w:pPr>
      <w:r w:rsidRPr="00FD0496">
        <w:rPr>
          <w:b/>
          <w:bCs/>
          <w:lang w:val="en-US"/>
        </w:rPr>
        <w:t>SUPPLEMENTAL INFORMATION</w:t>
      </w:r>
    </w:p>
    <w:p w14:paraId="67D90BAF" w14:textId="77777777" w:rsidR="00586F48" w:rsidRPr="00FD0496" w:rsidRDefault="00586F48" w:rsidP="00586F48">
      <w:pPr>
        <w:spacing w:line="360" w:lineRule="auto"/>
        <w:jc w:val="both"/>
        <w:rPr>
          <w:lang w:val="en-US"/>
        </w:rPr>
      </w:pPr>
      <w:r w:rsidRPr="00FD0496">
        <w:rPr>
          <w:lang w:val="en-US"/>
        </w:rPr>
        <w:t>Supplementa</w:t>
      </w:r>
      <w:r>
        <w:rPr>
          <w:lang w:val="en-US"/>
        </w:rPr>
        <w:t>ry</w:t>
      </w:r>
      <w:r w:rsidRPr="00FD0496">
        <w:rPr>
          <w:lang w:val="en-US"/>
        </w:rPr>
        <w:t xml:space="preserve"> Figure and Legends</w:t>
      </w:r>
      <w:r>
        <w:rPr>
          <w:lang w:val="en-US"/>
        </w:rPr>
        <w:t xml:space="preserve"> S1-S4</w:t>
      </w:r>
    </w:p>
    <w:p w14:paraId="0CA21617" w14:textId="77777777" w:rsidR="00586F48" w:rsidRDefault="00586F48" w:rsidP="00586F48">
      <w:pPr>
        <w:spacing w:line="360" w:lineRule="auto"/>
        <w:jc w:val="both"/>
        <w:rPr>
          <w:lang w:val="en-US"/>
        </w:rPr>
      </w:pPr>
      <w:r w:rsidRPr="00FD0496">
        <w:rPr>
          <w:lang w:val="en-US"/>
        </w:rPr>
        <w:t>Supplementa</w:t>
      </w:r>
      <w:r>
        <w:rPr>
          <w:lang w:val="en-US"/>
        </w:rPr>
        <w:t>ry</w:t>
      </w:r>
      <w:r w:rsidRPr="00FD0496">
        <w:rPr>
          <w:lang w:val="en-US"/>
        </w:rPr>
        <w:t xml:space="preserve"> </w:t>
      </w:r>
      <w:r>
        <w:rPr>
          <w:lang w:val="en-US"/>
        </w:rPr>
        <w:t xml:space="preserve">Tables </w:t>
      </w:r>
      <w:r w:rsidR="00AE6AD8">
        <w:rPr>
          <w:lang w:val="en-US"/>
        </w:rPr>
        <w:t>S</w:t>
      </w:r>
      <w:r>
        <w:rPr>
          <w:lang w:val="en-US"/>
        </w:rPr>
        <w:t>1-</w:t>
      </w:r>
      <w:r w:rsidR="00AE6AD8">
        <w:rPr>
          <w:lang w:val="en-US"/>
        </w:rPr>
        <w:t>S</w:t>
      </w:r>
      <w:r>
        <w:rPr>
          <w:lang w:val="en-US"/>
        </w:rPr>
        <w:t>4</w:t>
      </w:r>
    </w:p>
    <w:p w14:paraId="413617D8" w14:textId="77777777" w:rsidR="00586F48" w:rsidRPr="00FD0496" w:rsidRDefault="00586F48" w:rsidP="00586F48">
      <w:pPr>
        <w:spacing w:line="360" w:lineRule="auto"/>
        <w:jc w:val="both"/>
        <w:rPr>
          <w:lang w:val="en-US"/>
        </w:rPr>
      </w:pPr>
      <w:r>
        <w:rPr>
          <w:lang w:val="en-US"/>
        </w:rPr>
        <w:t>Extended Data to Supplementary Figures</w:t>
      </w:r>
    </w:p>
    <w:p w14:paraId="533D88BE" w14:textId="77777777" w:rsidR="00586F48" w:rsidRDefault="00586F48" w:rsidP="00586F48">
      <w:pPr>
        <w:spacing w:line="360" w:lineRule="auto"/>
        <w:jc w:val="both"/>
        <w:rPr>
          <w:lang w:val="en-US"/>
        </w:rPr>
      </w:pPr>
    </w:p>
    <w:p w14:paraId="7AB3C19A" w14:textId="77777777" w:rsidR="00586F48" w:rsidRDefault="00586F48" w:rsidP="00586F48">
      <w:pPr>
        <w:spacing w:line="360" w:lineRule="auto"/>
        <w:jc w:val="both"/>
        <w:rPr>
          <w:b/>
          <w:bCs/>
          <w:lang w:val="en-US"/>
        </w:rPr>
      </w:pPr>
      <w:r w:rsidRPr="00CE2B4B">
        <w:rPr>
          <w:b/>
          <w:bCs/>
          <w:lang w:val="en-US"/>
        </w:rPr>
        <w:t>Supplementary Figures:</w:t>
      </w:r>
    </w:p>
    <w:p w14:paraId="5D173651" w14:textId="6EF09A61" w:rsidR="00276683" w:rsidRPr="003C1539" w:rsidRDefault="008100B8" w:rsidP="00586F48">
      <w:pPr>
        <w:spacing w:line="360" w:lineRule="auto"/>
        <w:jc w:val="both"/>
        <w:rPr>
          <w:lang w:val="en-US"/>
        </w:rPr>
      </w:pPr>
      <w:r>
        <w:rPr>
          <w:noProof/>
          <w:lang w:val="en-US" w:eastAsia="en-US"/>
        </w:rPr>
        <w:drawing>
          <wp:inline distT="0" distB="0" distL="0" distR="0" wp14:anchorId="1F5F73E0" wp14:editId="1270EC2E">
            <wp:extent cx="5359400" cy="230957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2500" t="30769" r="29487" b="24787"/>
                    <a:stretch/>
                  </pic:blipFill>
                  <pic:spPr bwMode="auto">
                    <a:xfrm>
                      <a:off x="0" y="0"/>
                      <a:ext cx="5372307" cy="2315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8BA78D" w14:textId="77777777" w:rsidR="003C1539" w:rsidRDefault="003C1539" w:rsidP="003C1539">
      <w:pPr>
        <w:spacing w:line="360" w:lineRule="auto"/>
        <w:jc w:val="both"/>
        <w:rPr>
          <w:b/>
          <w:bCs/>
          <w:lang w:val="en-US"/>
        </w:rPr>
      </w:pPr>
      <w:r w:rsidRPr="00B9628C">
        <w:rPr>
          <w:b/>
          <w:bCs/>
          <w:lang w:val="en-US"/>
        </w:rPr>
        <w:t xml:space="preserve">Supplementary Figure </w:t>
      </w:r>
      <w:r>
        <w:rPr>
          <w:b/>
          <w:bCs/>
          <w:lang w:val="en-US"/>
        </w:rPr>
        <w:t>S</w:t>
      </w:r>
      <w:r w:rsidRPr="00B9628C">
        <w:rPr>
          <w:b/>
          <w:bCs/>
          <w:lang w:val="en-US"/>
        </w:rPr>
        <w:t>1</w:t>
      </w:r>
    </w:p>
    <w:p w14:paraId="2EA7BC2B" w14:textId="77777777" w:rsidR="003C1539" w:rsidRPr="00F948C6" w:rsidRDefault="003C1539" w:rsidP="003C1539">
      <w:pPr>
        <w:spacing w:line="360" w:lineRule="auto"/>
        <w:jc w:val="both"/>
        <w:rPr>
          <w:lang w:val="en-US"/>
        </w:rPr>
      </w:pPr>
      <w:r w:rsidRPr="00FD0496">
        <w:rPr>
          <w:lang w:val="en-US"/>
        </w:rPr>
        <w:t xml:space="preserve">Heatmap depicting </w:t>
      </w:r>
      <w:r>
        <w:rPr>
          <w:lang w:val="en-US"/>
        </w:rPr>
        <w:t>mean florescence intensity</w:t>
      </w:r>
      <w:r w:rsidRPr="00FD0496">
        <w:rPr>
          <w:lang w:val="en-US"/>
        </w:rPr>
        <w:t xml:space="preserve"> of cells immunoreactive for early and late neuronal</w:t>
      </w:r>
      <w:r>
        <w:rPr>
          <w:lang w:val="en-US"/>
        </w:rPr>
        <w:t xml:space="preserve"> (CD24, CD56)</w:t>
      </w:r>
      <w:r w:rsidRPr="00FD0496">
        <w:rPr>
          <w:lang w:val="en-US"/>
        </w:rPr>
        <w:t>, astrocytic</w:t>
      </w:r>
      <w:r>
        <w:rPr>
          <w:lang w:val="en-US"/>
        </w:rPr>
        <w:t xml:space="preserve"> (CD44, AQP4)</w:t>
      </w:r>
      <w:r w:rsidRPr="00FD0496">
        <w:rPr>
          <w:lang w:val="en-US"/>
        </w:rPr>
        <w:t xml:space="preserve"> and </w:t>
      </w:r>
      <w:proofErr w:type="spellStart"/>
      <w:r w:rsidRPr="00FD0496">
        <w:rPr>
          <w:lang w:val="en-US"/>
        </w:rPr>
        <w:t>oligodendrocytic</w:t>
      </w:r>
      <w:proofErr w:type="spellEnd"/>
      <w:r>
        <w:rPr>
          <w:lang w:val="en-US"/>
        </w:rPr>
        <w:t xml:space="preserve"> (CD140, </w:t>
      </w:r>
      <w:proofErr w:type="spellStart"/>
      <w:r>
        <w:rPr>
          <w:lang w:val="en-US"/>
        </w:rPr>
        <w:t>GalC</w:t>
      </w:r>
      <w:proofErr w:type="spellEnd"/>
      <w:r>
        <w:rPr>
          <w:lang w:val="en-US"/>
        </w:rPr>
        <w:t>)</w:t>
      </w:r>
      <w:r w:rsidRPr="00FD0496">
        <w:rPr>
          <w:lang w:val="en-US"/>
        </w:rPr>
        <w:t xml:space="preserve"> differentiation markers </w:t>
      </w:r>
      <w:r w:rsidRPr="00E02501">
        <w:t>(</w:t>
      </w:r>
      <w:r w:rsidRPr="00AF2F7A">
        <w:t>Data represent mean ± SEM from 3 biological replicates</w:t>
      </w:r>
      <w:r>
        <w:t>)</w:t>
      </w:r>
      <w:r w:rsidRPr="00AF2F7A">
        <w:t>. Statistical significance was assessed by unpaired t-test</w:t>
      </w:r>
      <w:r>
        <w:t xml:space="preserve">, </w:t>
      </w:r>
      <w:r w:rsidRPr="00C11EA3">
        <w:t>*</w:t>
      </w:r>
      <w:r>
        <w:t>*</w:t>
      </w:r>
      <w:r w:rsidRPr="00AF2F7A">
        <w:rPr>
          <w:i/>
          <w:iCs/>
        </w:rPr>
        <w:t>p</w:t>
      </w:r>
      <w:r w:rsidRPr="00AF2F7A">
        <w:t xml:space="preserve"> &lt; 0.0</w:t>
      </w:r>
      <w:r>
        <w:t xml:space="preserve">1, </w:t>
      </w:r>
      <w:r w:rsidRPr="00C11EA3">
        <w:t>*</w:t>
      </w:r>
      <w:r>
        <w:t>**</w:t>
      </w:r>
      <w:r w:rsidRPr="00AF2F7A">
        <w:rPr>
          <w:i/>
          <w:iCs/>
        </w:rPr>
        <w:t>p</w:t>
      </w:r>
      <w:r w:rsidRPr="00AF2F7A">
        <w:t xml:space="preserve"> &lt; 0.0</w:t>
      </w:r>
      <w:r>
        <w:t>01</w:t>
      </w:r>
      <w:r>
        <w:rPr>
          <w:rFonts w:eastAsia="Adobe Fan Heiti Std"/>
          <w:lang w:val="en-US"/>
        </w:rPr>
        <w:t>.</w:t>
      </w:r>
    </w:p>
    <w:p w14:paraId="73EA7F55" w14:textId="5F1E51E2" w:rsidR="00586F48" w:rsidRPr="00AF2F7A" w:rsidRDefault="008100B8" w:rsidP="00276683">
      <w:pPr>
        <w:spacing w:line="360" w:lineRule="auto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29382F95" wp14:editId="2805C675">
            <wp:extent cx="3631565" cy="5359400"/>
            <wp:effectExtent l="0" t="0" r="698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5410" t="18289" r="46581" b="8225"/>
                    <a:stretch/>
                  </pic:blipFill>
                  <pic:spPr bwMode="auto">
                    <a:xfrm>
                      <a:off x="0" y="0"/>
                      <a:ext cx="3634826" cy="5364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23C530" w14:textId="77777777" w:rsidR="00586F48" w:rsidRDefault="00586F48" w:rsidP="00586F48">
      <w:pPr>
        <w:spacing w:line="360" w:lineRule="auto"/>
        <w:jc w:val="both"/>
        <w:rPr>
          <w:b/>
          <w:bCs/>
          <w:lang w:val="en-US"/>
        </w:rPr>
      </w:pPr>
      <w:r w:rsidRPr="00B9628C">
        <w:rPr>
          <w:b/>
          <w:bCs/>
          <w:lang w:val="en-US"/>
        </w:rPr>
        <w:t>Suppleme</w:t>
      </w:r>
      <w:r>
        <w:rPr>
          <w:b/>
          <w:bCs/>
          <w:lang w:val="en-US"/>
        </w:rPr>
        <w:t>n</w:t>
      </w:r>
      <w:r w:rsidRPr="00B9628C">
        <w:rPr>
          <w:b/>
          <w:bCs/>
          <w:lang w:val="en-US"/>
        </w:rPr>
        <w:t xml:space="preserve">tary Figure </w:t>
      </w:r>
      <w:r>
        <w:rPr>
          <w:b/>
          <w:bCs/>
          <w:lang w:val="en-US"/>
        </w:rPr>
        <w:t>S</w:t>
      </w:r>
      <w:r w:rsidRPr="00B9628C">
        <w:rPr>
          <w:b/>
          <w:bCs/>
          <w:lang w:val="en-US"/>
        </w:rPr>
        <w:t>2</w:t>
      </w:r>
    </w:p>
    <w:p w14:paraId="255065BB" w14:textId="6C3F6F6F" w:rsidR="00586F48" w:rsidRDefault="00586F48" w:rsidP="00586F48">
      <w:pPr>
        <w:pStyle w:val="Body"/>
        <w:spacing w:line="360" w:lineRule="auto"/>
        <w:jc w:val="both"/>
        <w:rPr>
          <w:rFonts w:ascii="Times New Roman" w:hAnsi="Times New Roman"/>
          <w:lang w:val="en-GB"/>
        </w:rPr>
      </w:pPr>
      <w:r w:rsidRPr="006867AE">
        <w:rPr>
          <w:rFonts w:ascii="Times New Roman" w:hAnsi="Times New Roman"/>
        </w:rPr>
        <w:t xml:space="preserve">A) </w:t>
      </w:r>
      <w:r w:rsidRPr="00895390">
        <w:rPr>
          <w:rFonts w:ascii="Times New Roman" w:hAnsi="Times New Roman"/>
        </w:rPr>
        <w:t>The UpSet plot shows the overlap of hub genes identified using individual CytoHubba algorithms in individual PPI networks of DEG genes (</w:t>
      </w:r>
      <w:r>
        <w:rPr>
          <w:rFonts w:ascii="Times New Roman" w:hAnsi="Times New Roman"/>
        </w:rPr>
        <w:t xml:space="preserve">in </w:t>
      </w:r>
      <w:r w:rsidRPr="006867AE">
        <w:rPr>
          <w:rFonts w:ascii="Times New Roman" w:hAnsi="Times New Roman"/>
          <w:lang w:val="en-GB"/>
        </w:rPr>
        <w:t>neurons, astrocytes, and oligodendrocytes</w:t>
      </w:r>
      <w:r>
        <w:rPr>
          <w:rFonts w:ascii="Times New Roman" w:hAnsi="Times New Roman"/>
          <w:lang w:val="en-GB"/>
        </w:rPr>
        <w:t xml:space="preserve"> when compared to </w:t>
      </w:r>
      <w:r w:rsidR="008100B8">
        <w:rPr>
          <w:rFonts w:ascii="Times New Roman" w:hAnsi="Times New Roman"/>
          <w:lang w:val="en-GB"/>
        </w:rPr>
        <w:t>LUD</w:t>
      </w:r>
      <w:r>
        <w:rPr>
          <w:rFonts w:ascii="Times New Roman" w:hAnsi="Times New Roman"/>
          <w:lang w:val="en-GB"/>
        </w:rPr>
        <w:t xml:space="preserve"> culture</w:t>
      </w:r>
      <w:r w:rsidRPr="006867AE">
        <w:rPr>
          <w:rFonts w:ascii="Times New Roman" w:hAnsi="Times New Roman"/>
          <w:lang w:val="en-GB"/>
        </w:rPr>
        <w:t>).</w:t>
      </w:r>
    </w:p>
    <w:p w14:paraId="185B7F9E" w14:textId="56389EBC" w:rsidR="003C1539" w:rsidRDefault="00586F48" w:rsidP="003C1539">
      <w:pPr>
        <w:spacing w:line="360" w:lineRule="auto"/>
        <w:jc w:val="both"/>
      </w:pPr>
      <w:r>
        <w:t xml:space="preserve">B) </w:t>
      </w:r>
      <w:r w:rsidRPr="004220BC">
        <w:t xml:space="preserve">Network analysis using the Disease Alliance database identified top significantly enriched disease pathways among genes upregulated in the </w:t>
      </w:r>
      <w:r w:rsidR="008100B8">
        <w:t>LUD</w:t>
      </w:r>
      <w:r w:rsidRPr="004220BC">
        <w:t xml:space="preserve"> culture compared with neuron-only cultures.</w:t>
      </w:r>
    </w:p>
    <w:p w14:paraId="093B8B39" w14:textId="77777777" w:rsidR="003C1539" w:rsidRDefault="003C1539" w:rsidP="003C1539">
      <w:pPr>
        <w:spacing w:line="360" w:lineRule="auto"/>
        <w:jc w:val="both"/>
      </w:pPr>
    </w:p>
    <w:p w14:paraId="4C58AD5F" w14:textId="77777777" w:rsidR="00D920AF" w:rsidRDefault="00D920AF" w:rsidP="003C1539">
      <w:pPr>
        <w:spacing w:line="360" w:lineRule="auto"/>
        <w:jc w:val="both"/>
      </w:pPr>
    </w:p>
    <w:p w14:paraId="783482D8" w14:textId="34FF3117" w:rsidR="00D920AF" w:rsidRDefault="00D920AF" w:rsidP="002514BA">
      <w:pPr>
        <w:spacing w:line="360" w:lineRule="auto"/>
      </w:pPr>
    </w:p>
    <w:p w14:paraId="54407169" w14:textId="0C8A70DE" w:rsidR="002514BA" w:rsidRPr="003C1539" w:rsidRDefault="002514BA" w:rsidP="00276683">
      <w:pPr>
        <w:spacing w:line="360" w:lineRule="auto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3618BCA8" wp14:editId="26A06687">
            <wp:extent cx="4024566" cy="6120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5363" t="17612" r="36726" b="6934"/>
                    <a:stretch/>
                  </pic:blipFill>
                  <pic:spPr bwMode="auto">
                    <a:xfrm>
                      <a:off x="0" y="0"/>
                      <a:ext cx="4024566" cy="61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8C8ABD" w14:textId="77777777" w:rsidR="00586F48" w:rsidRDefault="00586F48" w:rsidP="00586F48">
      <w:pPr>
        <w:spacing w:line="360" w:lineRule="auto"/>
        <w:jc w:val="both"/>
        <w:rPr>
          <w:b/>
          <w:bCs/>
          <w:lang w:val="en-US"/>
        </w:rPr>
      </w:pPr>
      <w:r w:rsidRPr="00B9628C">
        <w:rPr>
          <w:b/>
          <w:bCs/>
          <w:lang w:val="en-US"/>
        </w:rPr>
        <w:t>Suppleme</w:t>
      </w:r>
      <w:r>
        <w:rPr>
          <w:b/>
          <w:bCs/>
          <w:lang w:val="en-US"/>
        </w:rPr>
        <w:t>n</w:t>
      </w:r>
      <w:r w:rsidRPr="00B9628C">
        <w:rPr>
          <w:b/>
          <w:bCs/>
          <w:lang w:val="en-US"/>
        </w:rPr>
        <w:t xml:space="preserve">tary Figure </w:t>
      </w:r>
      <w:r>
        <w:rPr>
          <w:b/>
          <w:bCs/>
          <w:lang w:val="en-US"/>
        </w:rPr>
        <w:t>S</w:t>
      </w:r>
      <w:r w:rsidRPr="00B9628C">
        <w:rPr>
          <w:b/>
          <w:bCs/>
          <w:lang w:val="en-US"/>
        </w:rPr>
        <w:t>3</w:t>
      </w:r>
    </w:p>
    <w:p w14:paraId="57B333AC" w14:textId="7DA16526" w:rsidR="00586F48" w:rsidRPr="007A1B38" w:rsidRDefault="00586F48" w:rsidP="00586F48">
      <w:pPr>
        <w:spacing w:line="360" w:lineRule="auto"/>
        <w:jc w:val="both"/>
        <w:rPr>
          <w:lang w:val="en-US"/>
        </w:rPr>
      </w:pPr>
      <w:r>
        <w:rPr>
          <w:lang w:val="en-US"/>
        </w:rPr>
        <w:t>A</w:t>
      </w:r>
      <w:r w:rsidRPr="00FD0496">
        <w:rPr>
          <w:lang w:val="en-US"/>
        </w:rPr>
        <w:t xml:space="preserve">) Representative </w:t>
      </w:r>
      <w:r>
        <w:rPr>
          <w:lang w:val="en-US"/>
        </w:rPr>
        <w:t xml:space="preserve">images </w:t>
      </w:r>
      <w:r w:rsidRPr="00FD0496">
        <w:rPr>
          <w:lang w:val="en-US"/>
        </w:rPr>
        <w:t xml:space="preserve">of </w:t>
      </w:r>
      <w:r w:rsidR="002514BA">
        <w:rPr>
          <w:lang w:val="en-US"/>
        </w:rPr>
        <w:t>LUD</w:t>
      </w:r>
      <w:r>
        <w:rPr>
          <w:lang w:val="en-US"/>
        </w:rPr>
        <w:t xml:space="preserve"> cell cultures and astrocytes culture </w:t>
      </w:r>
      <w:r w:rsidRPr="00FD0496">
        <w:rPr>
          <w:lang w:val="en-US"/>
        </w:rPr>
        <w:t xml:space="preserve">stained for </w:t>
      </w:r>
      <w:r w:rsidRPr="007B44D8">
        <w:t>glial fibrillary acidic protein</w:t>
      </w:r>
      <w:r>
        <w:t xml:space="preserve"> (GFAP) and for </w:t>
      </w:r>
      <w:r w:rsidRPr="00FD0496">
        <w:rPr>
          <w:lang w:val="en-US"/>
        </w:rPr>
        <w:t>the axonal projections with an antibody against the phosphorylated neurofilament heavy chain (</w:t>
      </w:r>
      <w:r>
        <w:rPr>
          <w:lang w:val="en-US"/>
        </w:rPr>
        <w:t>pNF</w:t>
      </w:r>
      <w:r w:rsidRPr="00FD0496">
        <w:rPr>
          <w:lang w:val="en-US"/>
        </w:rPr>
        <w:t>)</w:t>
      </w:r>
      <w:r>
        <w:t xml:space="preserve"> and DAPI (scale bar 15 </w:t>
      </w:r>
      <w:r>
        <w:sym w:font="Symbol" w:char="F06D"/>
      </w:r>
      <w:r>
        <w:t xml:space="preserve">m and 2 </w:t>
      </w:r>
      <w:r>
        <w:sym w:font="Symbol" w:char="F06D"/>
      </w:r>
      <w:r>
        <w:t>m).</w:t>
      </w:r>
    </w:p>
    <w:p w14:paraId="10D24479" w14:textId="233AEDB8" w:rsidR="00586F48" w:rsidRPr="007A1B38" w:rsidRDefault="00586F48" w:rsidP="00586F48">
      <w:pPr>
        <w:spacing w:line="360" w:lineRule="auto"/>
        <w:jc w:val="both"/>
      </w:pPr>
      <w:r>
        <w:t>B) Sholl</w:t>
      </w:r>
      <w:r w:rsidRPr="00196A48">
        <w:t xml:space="preserve"> analysis of astrocytes showing number of branches</w:t>
      </w:r>
      <w:r>
        <w:t>, ramification index, mean intersection</w:t>
      </w:r>
      <w:r w:rsidRPr="00196A48">
        <w:t xml:space="preserve"> and </w:t>
      </w:r>
      <w:r>
        <w:t xml:space="preserve">sum of </w:t>
      </w:r>
      <w:r w:rsidRPr="00196A48">
        <w:t>intersecti</w:t>
      </w:r>
      <w:r>
        <w:t xml:space="preserve">ng radii </w:t>
      </w:r>
      <w:r w:rsidRPr="00196A48">
        <w:t xml:space="preserve">in </w:t>
      </w:r>
      <w:r w:rsidR="002514BA">
        <w:t>LUD</w:t>
      </w:r>
      <w:r>
        <w:t xml:space="preserve"> culture vs. astrocytes</w:t>
      </w:r>
      <w:r>
        <w:rPr>
          <w:lang w:val="en-US"/>
        </w:rPr>
        <w:t xml:space="preserve">. </w:t>
      </w:r>
      <w:r w:rsidRPr="00AF2F7A">
        <w:t xml:space="preserve">Data represent mean ± SEM from 3 </w:t>
      </w:r>
      <w:r w:rsidRPr="00AF2F7A">
        <w:lastRenderedPageBreak/>
        <w:t>biological replicates (each with 3 technical replicates). Statistical significance was assessed by unpaired t-test</w:t>
      </w:r>
      <w:r>
        <w:t xml:space="preserve">, </w:t>
      </w:r>
      <w:r w:rsidRPr="00FD0496">
        <w:rPr>
          <w:lang w:val="en-US"/>
        </w:rPr>
        <w:t>*p</w:t>
      </w:r>
      <w:r w:rsidRPr="00FD0496">
        <w:rPr>
          <w:rFonts w:eastAsia="Adobe Fan Heiti Std"/>
          <w:lang w:val="en-US"/>
        </w:rPr>
        <w:t>&lt;0.05</w:t>
      </w:r>
      <w:r>
        <w:rPr>
          <w:rFonts w:eastAsia="Adobe Fan Heiti Std"/>
          <w:lang w:val="en-US"/>
        </w:rPr>
        <w:t>).</w:t>
      </w:r>
    </w:p>
    <w:p w14:paraId="6D999A84" w14:textId="77777777" w:rsidR="00586F48" w:rsidRDefault="00586F48" w:rsidP="00586F48">
      <w:pPr>
        <w:spacing w:line="360" w:lineRule="auto"/>
        <w:jc w:val="both"/>
      </w:pPr>
      <w:r>
        <w:rPr>
          <w:lang w:val="en-US"/>
        </w:rPr>
        <w:t>C</w:t>
      </w:r>
      <w:r w:rsidRPr="00FD0496">
        <w:rPr>
          <w:lang w:val="en-US"/>
        </w:rPr>
        <w:t>) Representative Imaris processed confocal Z-stack images of cell populations stained for the axonal projections with an antibody against the phosphorylated neurofilament heavy chain (</w:t>
      </w:r>
      <w:r>
        <w:rPr>
          <w:lang w:val="en-US"/>
        </w:rPr>
        <w:t>pNF</w:t>
      </w:r>
      <w:r w:rsidRPr="00FD0496">
        <w:rPr>
          <w:lang w:val="en-US"/>
        </w:rPr>
        <w:t>)</w:t>
      </w:r>
      <w:r>
        <w:rPr>
          <w:lang w:val="en-US"/>
        </w:rPr>
        <w:t xml:space="preserve"> and </w:t>
      </w:r>
      <w:r w:rsidRPr="004D2C54">
        <w:t>Contactin-1</w:t>
      </w:r>
      <w:r>
        <w:t xml:space="preserve"> (CNTN1)</w:t>
      </w:r>
      <w:r w:rsidRPr="004D2C54">
        <w:t xml:space="preserve"> </w:t>
      </w:r>
      <w:r>
        <w:t xml:space="preserve">responsible </w:t>
      </w:r>
      <w:r w:rsidRPr="004D2C54">
        <w:t>for the establishment of axon-myelin junctions at paranodes</w:t>
      </w:r>
      <w:r>
        <w:t>.</w:t>
      </w:r>
    </w:p>
    <w:p w14:paraId="38C99B83" w14:textId="30B7C66B" w:rsidR="00BD1448" w:rsidRDefault="00586F48" w:rsidP="00606BF6">
      <w:pPr>
        <w:spacing w:line="360" w:lineRule="auto"/>
        <w:jc w:val="both"/>
        <w:rPr>
          <w:lang w:val="en-US"/>
        </w:rPr>
      </w:pPr>
      <w:r>
        <w:rPr>
          <w:lang w:val="en-US"/>
        </w:rPr>
        <w:t>D</w:t>
      </w:r>
      <w:r w:rsidRPr="00FD0496">
        <w:rPr>
          <w:lang w:val="en-US"/>
        </w:rPr>
        <w:t xml:space="preserve">) Quantification of </w:t>
      </w:r>
      <w:r>
        <w:rPr>
          <w:lang w:val="en-US"/>
        </w:rPr>
        <w:t>CNTN1</w:t>
      </w:r>
      <w:r w:rsidRPr="00FD0496">
        <w:rPr>
          <w:lang w:val="en-US"/>
        </w:rPr>
        <w:t xml:space="preserve"> </w:t>
      </w:r>
      <w:r>
        <w:rPr>
          <w:lang w:val="en-US"/>
        </w:rPr>
        <w:t>intensity</w:t>
      </w:r>
      <w:r w:rsidRPr="00FD0496">
        <w:rPr>
          <w:lang w:val="en-US"/>
        </w:rPr>
        <w:t xml:space="preserve">. Graph showing </w:t>
      </w:r>
      <w:r>
        <w:rPr>
          <w:lang w:val="en-US"/>
        </w:rPr>
        <w:t>number of spots</w:t>
      </w:r>
      <w:r w:rsidRPr="00FD0496">
        <w:rPr>
          <w:lang w:val="en-US"/>
        </w:rPr>
        <w:t xml:space="preserve"> </w:t>
      </w:r>
      <w:r>
        <w:rPr>
          <w:lang w:val="en-US"/>
        </w:rPr>
        <w:t>per</w:t>
      </w:r>
      <w:r w:rsidRPr="00FD0496">
        <w:rPr>
          <w:lang w:val="en-US"/>
        </w:rPr>
        <w:t xml:space="preserve"> axonal projections in NSCs differentiated using </w:t>
      </w:r>
      <w:r w:rsidR="002514BA">
        <w:rPr>
          <w:lang w:val="en-US"/>
        </w:rPr>
        <w:t>LUD</w:t>
      </w:r>
      <w:r w:rsidRPr="00FD0496">
        <w:rPr>
          <w:lang w:val="en-US"/>
        </w:rPr>
        <w:t xml:space="preserve"> </w:t>
      </w:r>
      <w:r w:rsidRPr="00FD0496">
        <w:rPr>
          <w:i/>
          <w:iCs/>
          <w:lang w:val="en-US"/>
        </w:rPr>
        <w:t>versus</w:t>
      </w:r>
      <w:r w:rsidRPr="00FD0496">
        <w:rPr>
          <w:lang w:val="en-US"/>
        </w:rPr>
        <w:t xml:space="preserve"> discriminate approach (n=3 experiments per condition, unpaired t-test, *p</w:t>
      </w:r>
      <w:r w:rsidRPr="00FD0496">
        <w:rPr>
          <w:rFonts w:eastAsia="Adobe Fan Heiti Std"/>
          <w:lang w:val="en-US"/>
        </w:rPr>
        <w:t>&lt;0.05)</w:t>
      </w:r>
      <w:r w:rsidRPr="00FD0496">
        <w:rPr>
          <w:lang w:val="en-US"/>
        </w:rPr>
        <w:t>.</w:t>
      </w:r>
      <w:r w:rsidR="006C16B8">
        <w:rPr>
          <w:lang w:val="en-US"/>
        </w:rPr>
        <w:t xml:space="preserve"> </w:t>
      </w:r>
    </w:p>
    <w:p w14:paraId="295FB719" w14:textId="16033386" w:rsidR="00606BF6" w:rsidRDefault="006C16B8" w:rsidP="00606BF6">
      <w:pPr>
        <w:spacing w:line="360" w:lineRule="auto"/>
        <w:jc w:val="both"/>
      </w:pPr>
      <w:r w:rsidRPr="00606BF6">
        <w:rPr>
          <w:lang w:val="en-US"/>
        </w:rPr>
        <w:t>E)</w:t>
      </w:r>
      <w:r w:rsidR="00606BF6">
        <w:rPr>
          <w:lang w:val="en-US"/>
        </w:rPr>
        <w:t xml:space="preserve"> </w:t>
      </w:r>
      <w:r w:rsidR="00606BF6" w:rsidRPr="00196A48">
        <w:t xml:space="preserve">MEA recordings </w:t>
      </w:r>
      <w:r w:rsidR="00606BF6">
        <w:t xml:space="preserve">showing </w:t>
      </w:r>
      <w:r w:rsidR="00606BF6" w:rsidRPr="00196A48">
        <w:t xml:space="preserve">network activity in </w:t>
      </w:r>
      <w:r w:rsidR="00FB4022">
        <w:t>LU</w:t>
      </w:r>
      <w:r w:rsidR="00606BF6">
        <w:t xml:space="preserve">D cultures </w:t>
      </w:r>
      <w:r w:rsidR="00606BF6" w:rsidRPr="00196A48">
        <w:t>compared with neuron-only cultures</w:t>
      </w:r>
      <w:r w:rsidR="00606BF6">
        <w:t>.</w:t>
      </w:r>
      <w:r w:rsidR="00606BF6" w:rsidRPr="00196A48">
        <w:t xml:space="preserve"> </w:t>
      </w:r>
      <w:r w:rsidR="00606BF6">
        <w:t xml:space="preserve">Metrics include </w:t>
      </w:r>
      <w:r w:rsidR="00BD1448">
        <w:t xml:space="preserve">number of active and bursting electrodes. </w:t>
      </w:r>
      <w:r w:rsidR="00606BF6">
        <w:t>D</w:t>
      </w:r>
      <w:r w:rsidR="00606BF6" w:rsidRPr="006C633E">
        <w:t xml:space="preserve">ashed lines </w:t>
      </w:r>
      <w:r w:rsidR="00606BF6">
        <w:t xml:space="preserve">indicate </w:t>
      </w:r>
      <w:r w:rsidR="00606BF6" w:rsidRPr="006C633E">
        <w:t>mean</w:t>
      </w:r>
      <w:r w:rsidR="00606BF6">
        <w:t>s</w:t>
      </w:r>
      <w:r w:rsidR="00606BF6" w:rsidRPr="006C633E">
        <w:t xml:space="preserve"> from </w:t>
      </w:r>
      <w:r w:rsidR="00606BF6">
        <w:t>three</w:t>
      </w:r>
      <w:r w:rsidR="00606BF6" w:rsidRPr="006C633E">
        <w:t xml:space="preserve"> biological replicates</w:t>
      </w:r>
      <w:r w:rsidR="00606BF6">
        <w:t xml:space="preserve"> (</w:t>
      </w:r>
      <w:r w:rsidR="00606BF6" w:rsidRPr="006C633E">
        <w:t>32 technical replicates</w:t>
      </w:r>
      <w:r w:rsidR="00606BF6">
        <w:t xml:space="preserve"> per time point); </w:t>
      </w:r>
      <w:r w:rsidR="00606BF6" w:rsidRPr="006C633E">
        <w:t xml:space="preserve">solid lines </w:t>
      </w:r>
      <w:r w:rsidR="00606BF6">
        <w:t>represent</w:t>
      </w:r>
      <w:r w:rsidR="00606BF6" w:rsidRPr="006C633E">
        <w:t xml:space="preserve"> </w:t>
      </w:r>
      <w:r w:rsidR="00606BF6">
        <w:t xml:space="preserve">smoothed </w:t>
      </w:r>
      <w:r w:rsidR="00606BF6" w:rsidRPr="006C633E">
        <w:t xml:space="preserve">fourth-degree polynomial regression </w:t>
      </w:r>
      <w:r w:rsidR="00606BF6">
        <w:t>fits</w:t>
      </w:r>
      <w:r w:rsidR="00606BF6" w:rsidRPr="006C633E">
        <w:t xml:space="preserve">. </w:t>
      </w:r>
      <w:r w:rsidR="00606BF6">
        <w:t>L</w:t>
      </w:r>
      <w:r w:rsidR="00606BF6" w:rsidRPr="006C633E">
        <w:t xml:space="preserve">inear </w:t>
      </w:r>
      <w:r w:rsidR="00606BF6">
        <w:t xml:space="preserve">and quadratic </w:t>
      </w:r>
      <w:r w:rsidR="00606BF6" w:rsidRPr="006C633E">
        <w:t xml:space="preserve">growth </w:t>
      </w:r>
      <w:r w:rsidR="00606BF6">
        <w:t xml:space="preserve">trends were </w:t>
      </w:r>
      <w:r w:rsidR="00606BF6" w:rsidRPr="006C633E">
        <w:t>assessed using</w:t>
      </w:r>
      <w:r w:rsidR="00606BF6">
        <w:t xml:space="preserve"> Welch’s t-test</w:t>
      </w:r>
      <w:r w:rsidR="00606BF6" w:rsidRPr="006C633E">
        <w:t>.</w:t>
      </w:r>
    </w:p>
    <w:p w14:paraId="580010FF" w14:textId="77777777" w:rsidR="00586F48" w:rsidRPr="00B9628C" w:rsidRDefault="00586F48" w:rsidP="00586F48">
      <w:pPr>
        <w:spacing w:line="360" w:lineRule="auto"/>
        <w:jc w:val="both"/>
        <w:rPr>
          <w:lang w:val="en-US"/>
        </w:rPr>
      </w:pPr>
    </w:p>
    <w:p w14:paraId="1598FB74" w14:textId="23282218" w:rsidR="00586F48" w:rsidRPr="00B9628C" w:rsidRDefault="00036F66" w:rsidP="00586F48">
      <w:pPr>
        <w:rPr>
          <w:b/>
          <w:bCs/>
          <w:lang w:val="en-US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55B0B302" wp14:editId="321330A4">
            <wp:extent cx="5697220" cy="4406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0897" t="14814" r="33013" b="8054"/>
                    <a:stretch/>
                  </pic:blipFill>
                  <pic:spPr bwMode="auto">
                    <a:xfrm>
                      <a:off x="0" y="0"/>
                      <a:ext cx="5697818" cy="4407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8F34B70" w14:textId="77777777" w:rsidR="00586F48" w:rsidRDefault="00586F48" w:rsidP="00586F48">
      <w:pPr>
        <w:spacing w:line="360" w:lineRule="auto"/>
        <w:jc w:val="both"/>
        <w:rPr>
          <w:b/>
          <w:bCs/>
          <w:lang w:val="en-US"/>
        </w:rPr>
      </w:pPr>
      <w:r w:rsidRPr="00B9628C">
        <w:rPr>
          <w:b/>
          <w:bCs/>
          <w:lang w:val="en-US"/>
        </w:rPr>
        <w:t>Suppleme</w:t>
      </w:r>
      <w:r>
        <w:rPr>
          <w:b/>
          <w:bCs/>
          <w:lang w:val="en-US"/>
        </w:rPr>
        <w:t>n</w:t>
      </w:r>
      <w:r w:rsidRPr="00B9628C">
        <w:rPr>
          <w:b/>
          <w:bCs/>
          <w:lang w:val="en-US"/>
        </w:rPr>
        <w:t xml:space="preserve">tary Figure </w:t>
      </w:r>
      <w:r>
        <w:rPr>
          <w:b/>
          <w:bCs/>
          <w:lang w:val="en-US"/>
        </w:rPr>
        <w:t>S</w:t>
      </w:r>
      <w:r w:rsidR="00606BF6">
        <w:rPr>
          <w:b/>
          <w:bCs/>
          <w:lang w:val="en-US"/>
        </w:rPr>
        <w:t>4</w:t>
      </w:r>
    </w:p>
    <w:p w14:paraId="18A1C74E" w14:textId="24845F3F" w:rsidR="00586F48" w:rsidRDefault="00586F48" w:rsidP="00586F48">
      <w:pPr>
        <w:spacing w:line="360" w:lineRule="auto"/>
        <w:jc w:val="both"/>
        <w:rPr>
          <w:lang w:val="en-US"/>
        </w:rPr>
      </w:pPr>
      <w:r w:rsidRPr="00FD0496">
        <w:rPr>
          <w:lang w:val="en-US"/>
        </w:rPr>
        <w:t xml:space="preserve">A) Workflow diagram. Schematic of the experimental protocol whereby differentiated NSCs were first </w:t>
      </w:r>
      <w:r>
        <w:rPr>
          <w:lang w:val="en-US"/>
        </w:rPr>
        <w:t xml:space="preserve">sorted </w:t>
      </w:r>
      <w:r w:rsidRPr="00FD0496">
        <w:rPr>
          <w:lang w:val="en-US"/>
        </w:rPr>
        <w:t xml:space="preserve">and then the RNA of individual </w:t>
      </w:r>
      <w:r>
        <w:rPr>
          <w:lang w:val="en-US"/>
        </w:rPr>
        <w:t xml:space="preserve">astrocytic </w:t>
      </w:r>
      <w:r w:rsidRPr="00FD0496">
        <w:rPr>
          <w:lang w:val="en-US"/>
        </w:rPr>
        <w:t xml:space="preserve">cell populations sequenced. Considering significant effect of serum on the astrocytes, astrocytes generated using the </w:t>
      </w:r>
      <w:r w:rsidR="004401CD">
        <w:rPr>
          <w:lang w:val="en-US"/>
        </w:rPr>
        <w:t>LUD</w:t>
      </w:r>
      <w:r w:rsidRPr="00FD0496">
        <w:rPr>
          <w:lang w:val="en-US"/>
        </w:rPr>
        <w:t xml:space="preserve"> approach were compared with astrocytes harvested from week 20 human fetal cortex grown with or without serum. </w:t>
      </w:r>
    </w:p>
    <w:p w14:paraId="1167B6FB" w14:textId="1DB6E2C7" w:rsidR="00586F48" w:rsidRPr="00FD0496" w:rsidRDefault="00586F48" w:rsidP="00586F48">
      <w:p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B) </w:t>
      </w:r>
      <w:r w:rsidRPr="00FD0496">
        <w:rPr>
          <w:lang w:val="en-US"/>
        </w:rPr>
        <w:t xml:space="preserve">Volcano plots showing downregulated and upregulated differentially expressed genes in astrocytes differentiated using </w:t>
      </w:r>
      <w:r w:rsidR="004401CD">
        <w:rPr>
          <w:lang w:val="en-US"/>
        </w:rPr>
        <w:t>LUD</w:t>
      </w:r>
      <w:r w:rsidRPr="00FD0496">
        <w:rPr>
          <w:lang w:val="en-US"/>
        </w:rPr>
        <w:t xml:space="preserve"> approach compared with human fetal cortical astrocytes grown with or without serum.</w:t>
      </w:r>
    </w:p>
    <w:p w14:paraId="52E38523" w14:textId="47D76B0A" w:rsidR="00586F48" w:rsidRDefault="00586F48" w:rsidP="00586F48">
      <w:p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C) </w:t>
      </w:r>
      <w:r w:rsidRPr="004D2C54">
        <w:t>The percentage overlap in cell culture transcriptomes</w:t>
      </w:r>
      <w:r>
        <w:t xml:space="preserve">. </w:t>
      </w:r>
      <w:r w:rsidRPr="00FD0496">
        <w:rPr>
          <w:lang w:val="en-US"/>
        </w:rPr>
        <w:t xml:space="preserve">Proportions of identical and differentially expressed genes and the respectful correlations between astrocytes differentiated using </w:t>
      </w:r>
      <w:r w:rsidR="004401CD">
        <w:rPr>
          <w:lang w:val="en-US"/>
        </w:rPr>
        <w:t>LUD</w:t>
      </w:r>
      <w:r w:rsidRPr="00FD0496">
        <w:rPr>
          <w:lang w:val="en-US"/>
        </w:rPr>
        <w:t xml:space="preserve"> approach </w:t>
      </w:r>
      <w:r>
        <w:rPr>
          <w:lang w:val="en-US"/>
        </w:rPr>
        <w:t>(A</w:t>
      </w:r>
      <w:r w:rsidR="00D920AF">
        <w:rPr>
          <w:vertAlign w:val="superscript"/>
          <w:lang w:val="en-US"/>
        </w:rPr>
        <w:t>id</w:t>
      </w:r>
      <w:r>
        <w:rPr>
          <w:lang w:val="en-US"/>
        </w:rPr>
        <w:t xml:space="preserve">) </w:t>
      </w:r>
      <w:r w:rsidRPr="00FD0496">
        <w:rPr>
          <w:lang w:val="en-US"/>
        </w:rPr>
        <w:t xml:space="preserve">compared with human fetal cortical astrocytes grown with </w:t>
      </w:r>
      <w:r>
        <w:rPr>
          <w:lang w:val="en-US"/>
        </w:rPr>
        <w:t>(A</w:t>
      </w:r>
      <w:r w:rsidRPr="000C61EC">
        <w:rPr>
          <w:vertAlign w:val="superscript"/>
          <w:lang w:val="en-US"/>
        </w:rPr>
        <w:t>ws</w:t>
      </w:r>
      <w:r>
        <w:rPr>
          <w:lang w:val="en-US"/>
        </w:rPr>
        <w:t xml:space="preserve">) </w:t>
      </w:r>
      <w:r w:rsidRPr="00FD0496">
        <w:rPr>
          <w:lang w:val="en-US"/>
        </w:rPr>
        <w:t>or without serum</w:t>
      </w:r>
      <w:r>
        <w:rPr>
          <w:lang w:val="en-US"/>
        </w:rPr>
        <w:t xml:space="preserve"> (A</w:t>
      </w:r>
      <w:r>
        <w:rPr>
          <w:vertAlign w:val="superscript"/>
          <w:lang w:val="en-US"/>
        </w:rPr>
        <w:t>wo</w:t>
      </w:r>
      <w:r w:rsidRPr="000C61EC">
        <w:rPr>
          <w:vertAlign w:val="superscript"/>
          <w:lang w:val="en-US"/>
        </w:rPr>
        <w:t>s</w:t>
      </w:r>
      <w:r>
        <w:rPr>
          <w:lang w:val="en-US"/>
        </w:rPr>
        <w:t>)</w:t>
      </w:r>
      <w:r w:rsidRPr="00FD0496">
        <w:rPr>
          <w:lang w:val="en-US"/>
        </w:rPr>
        <w:t>.</w:t>
      </w:r>
      <w:r>
        <w:rPr>
          <w:lang w:val="en-US"/>
        </w:rPr>
        <w:t xml:space="preserve"> </w:t>
      </w:r>
      <w:r w:rsidRPr="00206514">
        <w:rPr>
          <w:lang w:val="en-US"/>
        </w:rPr>
        <w:t xml:space="preserve">Scatterplots show Spearman's correlation </w:t>
      </w:r>
      <w:r>
        <w:rPr>
          <w:lang w:val="en-US"/>
        </w:rPr>
        <w:t xml:space="preserve">of </w:t>
      </w:r>
      <w:r w:rsidRPr="00206514">
        <w:rPr>
          <w:lang w:val="en-US"/>
        </w:rPr>
        <w:t>average gene expression</w:t>
      </w:r>
      <w:r>
        <w:rPr>
          <w:lang w:val="en-US"/>
        </w:rPr>
        <w:t>s</w:t>
      </w:r>
      <w:r w:rsidRPr="00206514">
        <w:rPr>
          <w:lang w:val="en-US"/>
        </w:rPr>
        <w:t xml:space="preserve"> between A</w:t>
      </w:r>
      <w:r w:rsidR="00D920AF">
        <w:rPr>
          <w:vertAlign w:val="superscript"/>
          <w:lang w:val="en-US"/>
        </w:rPr>
        <w:t>id</w:t>
      </w:r>
      <w:r w:rsidRPr="00206514">
        <w:rPr>
          <w:lang w:val="en-US"/>
        </w:rPr>
        <w:t xml:space="preserve"> and A</w:t>
      </w:r>
      <w:r w:rsidRPr="000C61EC">
        <w:rPr>
          <w:vertAlign w:val="superscript"/>
          <w:lang w:val="en-US"/>
        </w:rPr>
        <w:t>ws</w:t>
      </w:r>
      <w:r w:rsidRPr="00206514">
        <w:rPr>
          <w:lang w:val="en-US"/>
        </w:rPr>
        <w:t xml:space="preserve"> and between A</w:t>
      </w:r>
      <w:r w:rsidR="00D920AF">
        <w:rPr>
          <w:vertAlign w:val="superscript"/>
          <w:lang w:val="en-US"/>
        </w:rPr>
        <w:t>id</w:t>
      </w:r>
      <w:r w:rsidRPr="00206514">
        <w:rPr>
          <w:lang w:val="en-US"/>
        </w:rPr>
        <w:t xml:space="preserve"> and A</w:t>
      </w:r>
      <w:r>
        <w:rPr>
          <w:vertAlign w:val="superscript"/>
          <w:lang w:val="en-US"/>
        </w:rPr>
        <w:t>wos</w:t>
      </w:r>
      <w:r w:rsidRPr="00206514">
        <w:rPr>
          <w:lang w:val="en-US"/>
        </w:rPr>
        <w:t>.</w:t>
      </w:r>
    </w:p>
    <w:p w14:paraId="7D777444" w14:textId="2BD4E60A" w:rsidR="00586F48" w:rsidRDefault="00586F48" w:rsidP="00586F48">
      <w:pPr>
        <w:spacing w:line="360" w:lineRule="auto"/>
        <w:jc w:val="both"/>
        <w:rPr>
          <w:lang w:val="en-US"/>
        </w:rPr>
      </w:pPr>
      <w:r>
        <w:rPr>
          <w:lang w:val="en-US"/>
        </w:rPr>
        <w:lastRenderedPageBreak/>
        <w:t xml:space="preserve">D) </w:t>
      </w:r>
      <w:r w:rsidRPr="00B219AC">
        <w:t>Heatmaps showing log</w:t>
      </w:r>
      <w:r w:rsidRPr="00B219AC">
        <w:rPr>
          <w:vertAlign w:val="subscript"/>
        </w:rPr>
        <w:t>2</w:t>
      </w:r>
      <w:r w:rsidRPr="00B219AC">
        <w:t xml:space="preserve">-transformed odds ratios of rank–rank hypergeometric overlap analysis of concordance of DE RNAs between </w:t>
      </w:r>
      <w:r>
        <w:t>A</w:t>
      </w:r>
      <w:r w:rsidR="00F7712A">
        <w:rPr>
          <w:vertAlign w:val="superscript"/>
        </w:rPr>
        <w:t>id</w:t>
      </w:r>
      <w:r>
        <w:t xml:space="preserve"> (</w:t>
      </w:r>
      <w:r w:rsidR="004401CD">
        <w:t>LUD</w:t>
      </w:r>
      <w:r>
        <w:t xml:space="preserve"> culture astrocytes)</w:t>
      </w:r>
      <w:r w:rsidRPr="00B219AC">
        <w:t xml:space="preserve"> versus </w:t>
      </w:r>
      <w:r>
        <w:t>A</w:t>
      </w:r>
      <w:r w:rsidRPr="00716CE9">
        <w:rPr>
          <w:vertAlign w:val="superscript"/>
        </w:rPr>
        <w:t>ws</w:t>
      </w:r>
      <w:r w:rsidRPr="00B219AC">
        <w:t xml:space="preserve"> </w:t>
      </w:r>
      <w:r>
        <w:t xml:space="preserve">(human fetal astrocytes grown with serum) </w:t>
      </w:r>
      <w:r w:rsidRPr="00B219AC">
        <w:t xml:space="preserve">and </w:t>
      </w:r>
      <w:r>
        <w:t>A</w:t>
      </w:r>
      <w:r w:rsidR="00F7712A">
        <w:rPr>
          <w:vertAlign w:val="superscript"/>
        </w:rPr>
        <w:t>id</w:t>
      </w:r>
      <w:r w:rsidRPr="00B219AC">
        <w:t xml:space="preserve"> versus </w:t>
      </w:r>
      <w:r>
        <w:t>A</w:t>
      </w:r>
      <w:r>
        <w:rPr>
          <w:vertAlign w:val="superscript"/>
        </w:rPr>
        <w:t>wos</w:t>
      </w:r>
      <w:r>
        <w:t xml:space="preserve"> (human fetal astrocytes grown without serum).</w:t>
      </w:r>
    </w:p>
    <w:p w14:paraId="6AB44BC3" w14:textId="27C27168" w:rsidR="00586F48" w:rsidRDefault="00586F48" w:rsidP="00586F48">
      <w:p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E) </w:t>
      </w:r>
      <w:r w:rsidRPr="00FD0496">
        <w:rPr>
          <w:bCs/>
          <w:lang w:val="en-US"/>
        </w:rPr>
        <w:t xml:space="preserve">Gene ontology analysis of the </w:t>
      </w:r>
      <w:r>
        <w:rPr>
          <w:bCs/>
          <w:lang w:val="en-US"/>
        </w:rPr>
        <w:t xml:space="preserve">significant </w:t>
      </w:r>
      <w:r w:rsidRPr="00FD0496">
        <w:rPr>
          <w:bCs/>
          <w:lang w:val="en-US"/>
        </w:rPr>
        <w:t xml:space="preserve">top ranking biological processes in </w:t>
      </w:r>
      <w:r>
        <w:rPr>
          <w:bCs/>
          <w:lang w:val="en-US"/>
        </w:rPr>
        <w:t xml:space="preserve">DEGs </w:t>
      </w:r>
      <w:r w:rsidRPr="00FD0496">
        <w:rPr>
          <w:lang w:val="en-US"/>
        </w:rPr>
        <w:t xml:space="preserve">upregulated in astrocytes differentiated using </w:t>
      </w:r>
      <w:r w:rsidR="004401CD">
        <w:rPr>
          <w:lang w:val="en-US"/>
        </w:rPr>
        <w:t>LUD</w:t>
      </w:r>
      <w:r w:rsidRPr="00FD0496">
        <w:rPr>
          <w:lang w:val="en-US"/>
        </w:rPr>
        <w:t xml:space="preserve"> approach compared with human fetal cortical astrocytes grown without serum</w:t>
      </w:r>
      <w:r>
        <w:rPr>
          <w:lang w:val="en-US"/>
        </w:rPr>
        <w:t>.</w:t>
      </w:r>
    </w:p>
    <w:p w14:paraId="21CB69CF" w14:textId="77777777" w:rsidR="0041550E" w:rsidRDefault="0041550E"/>
    <w:sectPr w:rsidR="004155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Adobe Fan Heiti Std">
    <w:charset w:val="80"/>
    <w:family w:val="swiss"/>
    <w:pitch w:val="variable"/>
    <w:sig w:usb0="00000001" w:usb1="1A0F1900" w:usb2="00000016" w:usb3="00000000" w:csb0="0012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F48"/>
    <w:rsid w:val="00036F66"/>
    <w:rsid w:val="001928DD"/>
    <w:rsid w:val="002514BA"/>
    <w:rsid w:val="00276683"/>
    <w:rsid w:val="002D58C1"/>
    <w:rsid w:val="003C1539"/>
    <w:rsid w:val="0041550E"/>
    <w:rsid w:val="004401CD"/>
    <w:rsid w:val="00586F48"/>
    <w:rsid w:val="00606BF6"/>
    <w:rsid w:val="006C16B8"/>
    <w:rsid w:val="008100B8"/>
    <w:rsid w:val="00AE6AD8"/>
    <w:rsid w:val="00BD1448"/>
    <w:rsid w:val="00D920AF"/>
    <w:rsid w:val="00E54870"/>
    <w:rsid w:val="00F7712A"/>
    <w:rsid w:val="00FB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DF3D9"/>
  <w15:chartTrackingRefBased/>
  <w15:docId w15:val="{B855488E-7B97-40BD-AF93-F62308783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F48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586F48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2026-09-03T10:09:00Z</dcterms:created>
  <dcterms:modified xsi:type="dcterms:W3CDTF">2026-09-03T10:09:00Z</dcterms:modified>
</cp:coreProperties>
</file>