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360" w:lineRule="auto"/>
        <w:jc w:val="both"/>
        <w:rPr>
          <w:b w:val="1"/>
          <w:bCs w:val="1"/>
          <w:sz w:val="22"/>
          <w:szCs w:val="22"/>
        </w:rPr>
      </w:pPr>
      <w:bookmarkStart w:colFirst="0" w:colLast="0" w:name="_q9xfmlobelfs" w:id="0"/>
      <w:bookmarkEnd w:id="0"/>
      <w:r w:rsidDel="00000000" w:rsidR="00000000" w:rsidRPr="00000000">
        <w:rPr>
          <w:b w:val="1"/>
          <w:bCs w:val="1"/>
          <w:sz w:val="22"/>
          <w:szCs w:val="22"/>
          <w:rtl w:val="0"/>
        </w:rPr>
        <w:t xml:space="preserve">TITLE</w:t>
      </w:r>
    </w:p>
    <w:p w:rsidR="00000000" w:rsidDel="00000000" w:rsidP="00000000" w:rsidRDefault="00000000" w:rsidRPr="00000000" w14:paraId="00000002">
      <w:pPr>
        <w:spacing w:line="360" w:lineRule="auto"/>
        <w:jc w:val="both"/>
        <w:rPr/>
      </w:pPr>
      <w:r w:rsidDel="00000000" w:rsidR="00000000" w:rsidRPr="00000000">
        <w:rPr>
          <w:rtl w:val="0"/>
        </w:rPr>
        <w:t xml:space="preserve">Open Abdomen with Negative-Pressure Wound Therapy versus Primary Fascial Closure in Abdominal Septic Shock: A Propensity-Weighted Cohort Study</w:t>
      </w:r>
    </w:p>
    <w:p w:rsidR="00000000" w:rsidDel="00000000" w:rsidP="00000000" w:rsidRDefault="00000000" w:rsidRPr="00000000" w14:paraId="00000003">
      <w:pPr>
        <w:spacing w:line="360" w:lineRule="auto"/>
        <w:jc w:val="both"/>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jc w:val="center"/>
        <w:rPr>
          <w:b w:val="1"/>
          <w:bCs w:val="1"/>
        </w:rPr>
      </w:pPr>
      <w:r w:rsidDel="00000000" w:rsidR="00000000" w:rsidRPr="00000000">
        <w:rPr>
          <w:b w:val="1"/>
          <w:bCs w:val="1"/>
          <w:u w:val="single"/>
          <w:rtl w:val="0"/>
        </w:rPr>
        <w:t xml:space="preserve">SUPPLEMENTARY EXTENDED METHODS</w:t>
      </w:r>
      <w:r w:rsidDel="00000000" w:rsidR="00000000" w:rsidRPr="00000000">
        <w:rPr>
          <w:rtl w:val="0"/>
        </w:rPr>
      </w:r>
    </w:p>
    <w:p w:rsidR="00000000" w:rsidDel="00000000" w:rsidP="00000000" w:rsidRDefault="00000000" w:rsidRPr="00000000" w14:paraId="00000006">
      <w:pPr>
        <w:spacing w:line="480" w:lineRule="auto"/>
        <w:rPr>
          <w:b w:val="1"/>
          <w:bCs w:val="1"/>
        </w:rPr>
      </w:pPr>
      <w:r w:rsidDel="00000000" w:rsidR="00000000" w:rsidRPr="00000000">
        <w:rPr>
          <w:rtl w:val="0"/>
        </w:rPr>
      </w:r>
    </w:p>
    <w:p w:rsidR="00000000" w:rsidDel="00000000" w:rsidP="00000000" w:rsidRDefault="00000000" w:rsidRPr="00000000" w14:paraId="00000007">
      <w:pPr>
        <w:spacing w:line="480" w:lineRule="auto"/>
        <w:rPr>
          <w:b w:val="1"/>
          <w:bCs w:val="1"/>
        </w:rPr>
      </w:pPr>
      <w:r w:rsidDel="00000000" w:rsidR="00000000" w:rsidRPr="00000000">
        <w:rPr>
          <w:b w:val="1"/>
          <w:bCs w:val="1"/>
          <w:rtl w:val="0"/>
        </w:rPr>
        <w:t xml:space="preserve">Study design and setting</w:t>
      </w:r>
    </w:p>
    <w:p w:rsidR="00000000" w:rsidDel="00000000" w:rsidP="00000000" w:rsidRDefault="00000000" w:rsidRPr="00000000" w14:paraId="00000008">
      <w:pPr>
        <w:spacing w:line="480" w:lineRule="auto"/>
        <w:rPr/>
      </w:pPr>
      <w:r w:rsidDel="00000000" w:rsidR="00000000" w:rsidRPr="00000000">
        <w:rPr>
          <w:rtl w:val="0"/>
        </w:rPr>
        <w:t xml:space="preserve">We conducted a retrospective, single-center observational cohort study at a university tertiary-care hospital serving as a regional referral center for emergency and complex abdominal surgery. The study was conducted in accordance with the Declaration of Helsinki and the protocol was approved by the local ethics committee (approval number AOP60652). Given the retrospective nature of the study, the requirement for written informed consent was managed according to local regulations. </w:t>
      </w:r>
    </w:p>
    <w:p w:rsidR="00000000" w:rsidDel="00000000" w:rsidP="00000000" w:rsidRDefault="00000000" w:rsidRPr="00000000" w14:paraId="00000009">
      <w:pPr>
        <w:spacing w:line="480" w:lineRule="auto"/>
        <w:rPr/>
      </w:pPr>
      <w:r w:rsidDel="00000000" w:rsidR="00000000" w:rsidRPr="00000000">
        <w:rPr>
          <w:rtl w:val="0"/>
        </w:rPr>
        <w:t xml:space="preserve">The study is reported according to the Strengthening the Reporting of Observational Studies in Epidemiology statement (</w:t>
      </w:r>
      <w:r w:rsidDel="00000000" w:rsidR="00000000" w:rsidRPr="00000000">
        <w:rPr>
          <w:b w:val="1"/>
          <w:bCs w:val="1"/>
          <w:rtl w:val="0"/>
        </w:rPr>
        <w:t xml:space="preserve">Supplementary Table 1</w:t>
      </w:r>
      <w:r w:rsidDel="00000000" w:rsidR="00000000" w:rsidRPr="00000000">
        <w:rPr>
          <w:rtl w:val="0"/>
        </w:rPr>
        <w:t xml:space="preserve">). </w:t>
      </w:r>
    </w:p>
    <w:p w:rsidR="00000000" w:rsidDel="00000000" w:rsidP="00000000" w:rsidRDefault="00000000" w:rsidRPr="00000000" w14:paraId="0000000A">
      <w:pPr>
        <w:spacing w:line="480" w:lineRule="auto"/>
        <w:rPr>
          <w:b w:val="1"/>
          <w:bCs w:val="1"/>
        </w:rPr>
      </w:pPr>
      <w:r w:rsidDel="00000000" w:rsidR="00000000" w:rsidRPr="00000000">
        <w:rPr>
          <w:rtl w:val="0"/>
        </w:rPr>
      </w:r>
    </w:p>
    <w:p w:rsidR="00000000" w:rsidDel="00000000" w:rsidP="00000000" w:rsidRDefault="00000000" w:rsidRPr="00000000" w14:paraId="0000000B">
      <w:pPr>
        <w:spacing w:line="480" w:lineRule="auto"/>
        <w:rPr>
          <w:b w:val="1"/>
          <w:bCs w:val="1"/>
        </w:rPr>
      </w:pPr>
      <w:r w:rsidDel="00000000" w:rsidR="00000000" w:rsidRPr="00000000">
        <w:rPr>
          <w:b w:val="1"/>
          <w:bCs w:val="1"/>
          <w:rtl w:val="0"/>
        </w:rPr>
        <w:t xml:space="preserve">Study population</w:t>
      </w:r>
    </w:p>
    <w:p w:rsidR="00000000" w:rsidDel="00000000" w:rsidP="00000000" w:rsidRDefault="00000000" w:rsidRPr="00000000" w14:paraId="0000000C">
      <w:pPr>
        <w:spacing w:line="480" w:lineRule="auto"/>
        <w:rPr/>
      </w:pPr>
      <w:r w:rsidDel="00000000" w:rsidR="00000000" w:rsidRPr="00000000">
        <w:rPr>
          <w:rFonts w:ascii="Arial Unicode MS" w:cs="Arial Unicode MS" w:eastAsia="Arial Unicode MS" w:hAnsi="Arial Unicode MS"/>
          <w:rtl w:val="0"/>
        </w:rPr>
        <w:t xml:space="preserve">We included consecutive adults (≥18 years) with abdominal septic shock who underwent urgent surgery for source control between May 1, 2021, and April 30, 2026. Septic shock was defined according to the Surviving Sepsis Campaign/Sepsis-3 framework as sepsis requiring vasopressors to maintain mean arterial pressure ≥65 mm Hg and serum lactate &gt;2 mmol/L despite adequate volume resuscitation [</w:t>
      </w:r>
      <w:r w:rsidDel="00000000" w:rsidR="00000000" w:rsidRPr="00000000">
        <w:rPr>
          <w:rtl w:val="0"/>
        </w:rPr>
        <w:t xml:space="preserve">12</w:t>
      </w:r>
      <w:r w:rsidDel="00000000" w:rsidR="00000000" w:rsidRPr="00000000">
        <w:rPr>
          <w:rtl w:val="0"/>
        </w:rPr>
        <w:t xml:space="preserve">]. The source of infection had to be intra-abdominal and require operative source control. We excluded patients with abdominal sepsis without septic shock, patients undergoing abdominal source control for trauma, and patients in whom an open abdomen was instituted after an initial elective operation.</w:t>
      </w:r>
    </w:p>
    <w:p w:rsidR="00000000" w:rsidDel="00000000" w:rsidP="00000000" w:rsidRDefault="00000000" w:rsidRPr="00000000" w14:paraId="0000000D">
      <w:pPr>
        <w:spacing w:line="480" w:lineRule="auto"/>
        <w:rPr/>
      </w:pPr>
      <w:r w:rsidDel="00000000" w:rsidR="00000000" w:rsidRPr="00000000">
        <w:rPr>
          <w:rtl w:val="0"/>
        </w:rPr>
      </w:r>
    </w:p>
    <w:p w:rsidR="00000000" w:rsidDel="00000000" w:rsidP="00000000" w:rsidRDefault="00000000" w:rsidRPr="00000000" w14:paraId="0000000E">
      <w:pPr>
        <w:spacing w:line="480" w:lineRule="auto"/>
        <w:rPr>
          <w:b w:val="1"/>
          <w:bCs w:val="1"/>
        </w:rPr>
      </w:pPr>
      <w:r w:rsidDel="00000000" w:rsidR="00000000" w:rsidRPr="00000000">
        <w:rPr>
          <w:b w:val="1"/>
          <w:bCs w:val="1"/>
          <w:rtl w:val="0"/>
        </w:rPr>
        <w:t xml:space="preserve">Objectives and outcomes</w:t>
      </w:r>
    </w:p>
    <w:p w:rsidR="00000000" w:rsidDel="00000000" w:rsidP="00000000" w:rsidRDefault="00000000" w:rsidRPr="00000000" w14:paraId="0000000F">
      <w:pPr>
        <w:spacing w:line="480" w:lineRule="auto"/>
        <w:rPr/>
      </w:pPr>
      <w:r w:rsidDel="00000000" w:rsidR="00000000" w:rsidRPr="00000000">
        <w:rPr>
          <w:rtl w:val="0"/>
        </w:rPr>
        <w:t xml:space="preserve">The primary objective was to estimate the association between an initial OA-NPWT strategy and 30-day mortality compared with primary fascial closure, after adjustment for confounding by indication. Secondary outcomes were duration of mechanical ventilation, tracheostomy, 28-day ventilator-free days (VFDs), continuous renal replacement therapy (CRRT), abdominal reinterventions, abdominal wound dehiscence, multidrug-resistant organism (MDRO) infection, ICU length of stay, and total hospital length of stay. VFDs were assigned as zero to patients dying within 28 days and otherwise calculated as days alive and free from mechanical ventilation through day 28. </w:t>
      </w:r>
    </w:p>
    <w:p w:rsidR="00000000" w:rsidDel="00000000" w:rsidP="00000000" w:rsidRDefault="00000000" w:rsidRPr="00000000" w14:paraId="00000010">
      <w:pPr>
        <w:spacing w:line="480" w:lineRule="auto"/>
        <w:rPr/>
      </w:pPr>
      <w:r w:rsidDel="00000000" w:rsidR="00000000" w:rsidRPr="00000000">
        <w:rPr>
          <w:rtl w:val="0"/>
        </w:rPr>
        <w:t xml:space="preserve">Exploratory aims were to identify factors associated with OA-NPWT use and to assess whether its association with mortality varied according to selected clinical modifiers or baseline predicted risk.</w:t>
      </w:r>
    </w:p>
    <w:p w:rsidR="00000000" w:rsidDel="00000000" w:rsidP="00000000" w:rsidRDefault="00000000" w:rsidRPr="00000000" w14:paraId="00000011">
      <w:pPr>
        <w:spacing w:line="480" w:lineRule="auto"/>
        <w:rPr/>
      </w:pPr>
      <w:r w:rsidDel="00000000" w:rsidR="00000000" w:rsidRPr="00000000">
        <w:rPr>
          <w:rtl w:val="0"/>
        </w:rPr>
      </w:r>
    </w:p>
    <w:p w:rsidR="00000000" w:rsidDel="00000000" w:rsidP="00000000" w:rsidRDefault="00000000" w:rsidRPr="00000000" w14:paraId="00000012">
      <w:pPr>
        <w:spacing w:line="480" w:lineRule="auto"/>
        <w:rPr>
          <w:b w:val="1"/>
          <w:bCs w:val="1"/>
        </w:rPr>
      </w:pPr>
      <w:r w:rsidDel="00000000" w:rsidR="00000000" w:rsidRPr="00000000">
        <w:rPr>
          <w:b w:val="1"/>
          <w:bCs w:val="1"/>
          <w:rtl w:val="0"/>
        </w:rPr>
        <w:t xml:space="preserve">Exposure definition</w:t>
      </w:r>
    </w:p>
    <w:p w:rsidR="00000000" w:rsidDel="00000000" w:rsidP="00000000" w:rsidRDefault="00000000" w:rsidRPr="00000000" w14:paraId="00000013">
      <w:pPr>
        <w:spacing w:line="480" w:lineRule="auto"/>
        <w:rPr/>
      </w:pPr>
      <w:r w:rsidDel="00000000" w:rsidR="00000000" w:rsidRPr="00000000">
        <w:rPr>
          <w:rtl w:val="0"/>
        </w:rPr>
        <w:t xml:space="preserve">The exposure was the strategy selected at the index source-control laparotomy: initial OA-NPWT versus primary fascial closure. </w:t>
      </w:r>
    </w:p>
    <w:p w:rsidR="00000000" w:rsidDel="00000000" w:rsidP="00000000" w:rsidRDefault="00000000" w:rsidRPr="00000000" w14:paraId="00000014">
      <w:pPr>
        <w:spacing w:line="480" w:lineRule="auto"/>
        <w:rPr/>
      </w:pPr>
      <w:r w:rsidDel="00000000" w:rsidR="00000000" w:rsidRPr="00000000">
        <w:rPr>
          <w:rtl w:val="0"/>
        </w:rPr>
        <w:t xml:space="preserve">All patients managed with an OA-NPWT were treated using ABThera™ Open Abdomen Negative Pressure Therapy System, with the negative pressure therapy set at -100 mmHg.</w:t>
      </w:r>
    </w:p>
    <w:p w:rsidR="00000000" w:rsidDel="00000000" w:rsidP="00000000" w:rsidRDefault="00000000" w:rsidRPr="00000000" w14:paraId="00000015">
      <w:pPr>
        <w:spacing w:line="480" w:lineRule="auto"/>
        <w:rPr/>
      </w:pPr>
      <w:r w:rsidDel="00000000" w:rsidR="00000000" w:rsidRPr="00000000">
        <w:rPr>
          <w:rtl w:val="0"/>
        </w:rPr>
        <w:t xml:space="preserve">Classification was based on the initial intraoperative decision irrespective of subsequent reoperations or delayed closure.</w:t>
      </w:r>
    </w:p>
    <w:p w:rsidR="00000000" w:rsidDel="00000000" w:rsidP="00000000" w:rsidRDefault="00000000" w:rsidRPr="00000000" w14:paraId="00000016">
      <w:pPr>
        <w:spacing w:line="480" w:lineRule="auto"/>
        <w:rPr/>
      </w:pPr>
      <w:r w:rsidDel="00000000" w:rsidR="00000000" w:rsidRPr="00000000">
        <w:rPr>
          <w:rtl w:val="0"/>
        </w:rPr>
      </w:r>
    </w:p>
    <w:p w:rsidR="00000000" w:rsidDel="00000000" w:rsidP="00000000" w:rsidRDefault="00000000" w:rsidRPr="00000000" w14:paraId="00000017">
      <w:pPr>
        <w:spacing w:line="480" w:lineRule="auto"/>
        <w:rPr>
          <w:b w:val="1"/>
          <w:bCs w:val="1"/>
        </w:rPr>
      </w:pPr>
      <w:r w:rsidDel="00000000" w:rsidR="00000000" w:rsidRPr="00000000">
        <w:rPr>
          <w:b w:val="1"/>
          <w:bCs w:val="1"/>
          <w:rtl w:val="0"/>
        </w:rPr>
        <w:t xml:space="preserve">Data collection and variable definitions</w:t>
      </w:r>
    </w:p>
    <w:p w:rsidR="00000000" w:rsidDel="00000000" w:rsidP="00000000" w:rsidRDefault="00000000" w:rsidRPr="00000000" w14:paraId="00000018">
      <w:pPr>
        <w:spacing w:line="480" w:lineRule="auto"/>
        <w:rPr/>
      </w:pPr>
      <w:r w:rsidDel="00000000" w:rsidR="00000000" w:rsidRPr="00000000">
        <w:rPr>
          <w:rtl w:val="0"/>
        </w:rPr>
        <w:t xml:space="preserve">Demographic, clinical, laboratory, physiological, and operative data were retrospectively extracted from electronic medical records, anesthesia charts, operative reports, and ICU records using a predefined study database. Baseline variables included age, sex, body mass index (BMI), comorbidities summarized by the Charlson Comorbidity Index, time from hospital admission to source-control surgery, preoperative lactate and C-reactive protein concentrations, and sequential organ failure assessment (SOFA) and Simplified Acute Physiology II (SAPS II) scores at the time of the index surgery. Severity of peritonitis was characterized using the Mannheim Peritonitis Index. Intraoperative variables included the principal source-control procedure, operative duration, estimated blood loss, transfusion requirements, maximum norepinephrine dose, use of a second vasoconstrictor or an inotropic agent, and maximum intraoperative lactate concentration. Maximum norepinephrine dose was defined as the highest infusion rate administered during the index operation. Second vasoconstrictor use was defined as the administration of vasopressin in addition to norepinephrine, consistent with the vasopressor strategy recommended by the Surviving Sepsis Campaign [</w:t>
      </w:r>
      <w:r w:rsidDel="00000000" w:rsidR="00000000" w:rsidRPr="00000000">
        <w:rPr>
          <w:rtl w:val="0"/>
        </w:rPr>
        <w:t xml:space="preserve">12</w:t>
      </w:r>
      <w:r w:rsidDel="00000000" w:rsidR="00000000" w:rsidRPr="00000000">
        <w:rPr>
          <w:rtl w:val="0"/>
        </w:rPr>
        <w:t xml:space="preserve">]. Night-time or holiday surgery was recorded as a binary variable according to the institutional duty roster, identifying procedures performed outside routine weekday daytime activity. Operative procedures were categorized according to the predominant anatomical site and source-control intervention performed at the index laparotomy.</w:t>
      </w:r>
    </w:p>
    <w:p w:rsidR="00000000" w:rsidDel="00000000" w:rsidP="00000000" w:rsidRDefault="00000000" w:rsidRPr="00000000" w14:paraId="00000019">
      <w:pPr>
        <w:spacing w:line="480" w:lineRule="auto"/>
        <w:rPr/>
      </w:pPr>
      <w:r w:rsidDel="00000000" w:rsidR="00000000" w:rsidRPr="00000000">
        <w:rPr>
          <w:rtl w:val="0"/>
        </w:rPr>
        <w:t xml:space="preserve">Postoperative variables included duration of mechanical ventilation, tracheostomy, continuous renal replacement therapy, abdominal reinterventions, abdominal wound dehiscence, MDRO infection, and ICU and hospital lengths of stay. An abdominal reintervention was defined as any subsequent operative abdominal procedure performed during the same hospitalization after the index source-control laparotomy, including planned re-exploration and delayed fascial closure in patients managed with an open abdomen. Abdominal wound dehiscence was defined according to the 2018 World Union of Wound Healing Societies (WUWHS) consensus as separation of the margins of a previously closed surgical incision, with or without exposure or protrusion of underlying tissues, organs, or implants [</w:t>
      </w:r>
      <w:r w:rsidDel="00000000" w:rsidR="00000000" w:rsidRPr="00000000">
        <w:rPr>
          <w:rtl w:val="0"/>
        </w:rPr>
        <w:t xml:space="preserve">13</w:t>
      </w:r>
      <w:r w:rsidDel="00000000" w:rsidR="00000000" w:rsidRPr="00000000">
        <w:rPr>
          <w:rtl w:val="0"/>
        </w:rPr>
        <w:t xml:space="preserve">]. MDRO infection was defined as a clinically diagnosed infection caused by a bacteria with acquired non-susceptibility to at least one agent in three or more antimicrobial categories [</w:t>
      </w:r>
      <w:r w:rsidDel="00000000" w:rsidR="00000000" w:rsidRPr="00000000">
        <w:rPr>
          <w:rtl w:val="0"/>
        </w:rPr>
        <w:t xml:space="preserve">14</w:t>
      </w:r>
      <w:r w:rsidDel="00000000" w:rsidR="00000000" w:rsidRPr="00000000">
        <w:rPr>
          <w:rtl w:val="0"/>
        </w:rPr>
        <w:t xml:space="preserve">]. Among patients initially managed with OA-NPWT, device-treatment duration was defined as the recorded duration of OA-NPWT placement, expressed in hours from the index operation.</w:t>
      </w:r>
    </w:p>
    <w:p w:rsidR="00000000" w:rsidDel="00000000" w:rsidP="00000000" w:rsidRDefault="00000000" w:rsidRPr="00000000" w14:paraId="0000001A">
      <w:pPr>
        <w:spacing w:line="480" w:lineRule="auto"/>
        <w:rPr>
          <w:b w:val="1"/>
          <w:bCs w:val="1"/>
        </w:rPr>
      </w:pPr>
      <w:r w:rsidDel="00000000" w:rsidR="00000000" w:rsidRPr="00000000">
        <w:rPr>
          <w:rtl w:val="0"/>
        </w:rPr>
      </w:r>
    </w:p>
    <w:p w:rsidR="00000000" w:rsidDel="00000000" w:rsidP="00000000" w:rsidRDefault="00000000" w:rsidRPr="00000000" w14:paraId="0000001B">
      <w:pPr>
        <w:spacing w:line="480" w:lineRule="auto"/>
        <w:rPr/>
      </w:pPr>
      <w:r w:rsidDel="00000000" w:rsidR="00000000" w:rsidRPr="00000000">
        <w:rPr>
          <w:b w:val="1"/>
          <w:bCs w:val="1"/>
          <w:rtl w:val="0"/>
        </w:rPr>
        <w:t xml:space="preserve">Statistical analysis</w:t>
      </w:r>
      <w:r w:rsidDel="00000000" w:rsidR="00000000" w:rsidRPr="00000000">
        <w:rPr>
          <w:rtl w:val="0"/>
        </w:rPr>
      </w:r>
    </w:p>
    <w:p w:rsidR="00000000" w:rsidDel="00000000" w:rsidP="00000000" w:rsidRDefault="00000000" w:rsidRPr="00000000" w14:paraId="0000001C">
      <w:pPr>
        <w:spacing w:line="480" w:lineRule="auto"/>
        <w:rPr/>
      </w:pPr>
      <w:r w:rsidDel="00000000" w:rsidR="00000000" w:rsidRPr="00000000">
        <w:rPr>
          <w:rtl w:val="0"/>
        </w:rPr>
        <w:t xml:space="preserve">Continuous variables were summarized as mean (SD) or median (IQR), as appropriate, and categorical variables as counts and percentages. </w:t>
      </w:r>
    </w:p>
    <w:p w:rsidR="00000000" w:rsidDel="00000000" w:rsidP="00000000" w:rsidRDefault="00000000" w:rsidRPr="00000000" w14:paraId="0000001D">
      <w:pPr>
        <w:spacing w:line="480" w:lineRule="auto"/>
        <w:rPr/>
      </w:pPr>
      <w:r w:rsidDel="00000000" w:rsidR="00000000" w:rsidRPr="00000000">
        <w:rPr>
          <w:rFonts w:ascii="Arial Unicode MS" w:cs="Arial Unicode MS" w:eastAsia="Arial Unicode MS" w:hAnsi="Arial Unicode MS"/>
          <w:rtl w:val="0"/>
        </w:rPr>
        <w:t xml:space="preserve">For the primary aim, the propensity score for OA-NPWT use was estimated separately in each imputed dataset using logistic regression and only variables available before the decision to leave the abdomen open or close the fascia: age, sex, body mass index (BMI), Charlson Comorbidity Index, hospital-to-operation time, preoperative lactate, C-reactive protein, SOFA and SAPS II scores at the time of surgery, Mannheim Peritonitis Index, maximum intraoperative norepinephrine dose, second intraoperative vasoconstrictor use, type of surgical procedure, and night/holiday surgery. Since the clinical question concerned patients with genuine equipoise between initial open-abdomen management and primary fascial closure, overlap weights were 1−e(X) for OA-NPWT-treated patients and e(X) for primary-closure patients, targeting patients with the greatest treatment equipoise [</w:t>
      </w:r>
      <w:r w:rsidDel="00000000" w:rsidR="00000000" w:rsidRPr="00000000">
        <w:rPr>
          <w:rtl w:val="0"/>
        </w:rPr>
        <w:t xml:space="preserve">15</w:t>
      </w:r>
      <w:r w:rsidDel="00000000" w:rsidR="00000000" w:rsidRPr="00000000">
        <w:rPr>
          <w:rtl w:val="0"/>
        </w:rPr>
        <w:t xml:space="preserve">]. Covariate balance was assessed using standardized mean differences (SMDs), with |SMD|&lt;0.10 considered adequate.</w:t>
      </w:r>
    </w:p>
    <w:p w:rsidR="00000000" w:rsidDel="00000000" w:rsidP="00000000" w:rsidRDefault="00000000" w:rsidRPr="00000000" w14:paraId="0000001E">
      <w:pPr>
        <w:spacing w:line="480" w:lineRule="auto"/>
        <w:rPr/>
      </w:pPr>
      <w:r w:rsidDel="00000000" w:rsidR="00000000" w:rsidRPr="00000000">
        <w:rPr>
          <w:rtl w:val="0"/>
        </w:rPr>
        <w:t xml:space="preserve">The adjusted 30-day risk ratio (RR) was estimated using overlap-weighted modified Poisson regression with robust variance [</w:t>
      </w:r>
      <w:r w:rsidDel="00000000" w:rsidR="00000000" w:rsidRPr="00000000">
        <w:rPr>
          <w:rtl w:val="0"/>
        </w:rPr>
        <w:t xml:space="preserve">16</w:t>
      </w:r>
      <w:r w:rsidDel="00000000" w:rsidR="00000000" w:rsidRPr="00000000">
        <w:rPr>
          <w:rFonts w:ascii="Arial Unicode MS" w:cs="Arial Unicode MS" w:eastAsia="Arial Unicode MS" w:hAnsi="Arial Unicode MS"/>
          <w:rtl w:val="0"/>
        </w:rPr>
        <w:t xml:space="preserve">]. Adjusted risks and absolute risk differences (RDs) were obtained by marginal standardization and reported with 95% confidence intervals. Patients who died within 30 days or had ≥30 days of follow-up contributed to the binary mortality analysis; those last known alive before day 30 were retained in survival analyses and censored at last follow-up. Complementary analyses included overlap-weighted Kaplan-Meier curves, 30-day cumulative mortality, restricted mean survival time through day 30 [</w:t>
      </w:r>
      <w:r w:rsidDel="00000000" w:rsidR="00000000" w:rsidRPr="00000000">
        <w:rPr>
          <w:rtl w:val="0"/>
        </w:rPr>
        <w:t xml:space="preserve">17</w:t>
      </w:r>
      <w:r w:rsidDel="00000000" w:rsidR="00000000" w:rsidRPr="00000000">
        <w:rPr>
          <w:rtl w:val="0"/>
        </w:rPr>
        <w:t xml:space="preserve">], and a weighted Cox model with assessment of proportional hazards. Secondary binary outcomes were analyzed using weighted RRs; continuous/count outcomes using weighted means and mean differences.</w:t>
      </w:r>
    </w:p>
    <w:p w:rsidR="00000000" w:rsidDel="00000000" w:rsidP="00000000" w:rsidRDefault="00000000" w:rsidRPr="00000000" w14:paraId="0000001F">
      <w:pPr>
        <w:spacing w:line="480" w:lineRule="auto"/>
        <w:rPr/>
      </w:pPr>
      <w:r w:rsidDel="00000000" w:rsidR="00000000" w:rsidRPr="00000000">
        <w:rPr>
          <w:rtl w:val="0"/>
        </w:rPr>
        <w:t xml:space="preserve">Sensitivity analyses included conventional multivariable regression using the same confounder set, 1:1 propensity-score matching, restriction to the empirical common-support region, complete-case overlap weighting, reintroduction of preoperative procalcitonin into the propensity-score model using multiple imputation, and E-values for unmeasured confounding [</w:t>
      </w:r>
      <w:r w:rsidDel="00000000" w:rsidR="00000000" w:rsidRPr="00000000">
        <w:rPr>
          <w:rtl w:val="0"/>
        </w:rPr>
        <w:t xml:space="preserve">18</w:t>
      </w:r>
      <w:r w:rsidDel="00000000" w:rsidR="00000000" w:rsidRPr="00000000">
        <w:rPr>
          <w:rtl w:val="0"/>
        </w:rPr>
        <w:t xml:space="preserve">]. Because procalcitonin was available in only 54 of 128 patients (42.2%), it was excluded from the primary propensity-score model but retained in this sensitivity analysis through multiple imputation. </w:t>
      </w:r>
    </w:p>
    <w:p w:rsidR="00000000" w:rsidDel="00000000" w:rsidP="00000000" w:rsidRDefault="00000000" w:rsidRPr="00000000" w14:paraId="00000020">
      <w:pPr>
        <w:spacing w:line="480" w:lineRule="auto"/>
        <w:rPr/>
      </w:pPr>
      <w:r w:rsidDel="00000000" w:rsidR="00000000" w:rsidRPr="00000000">
        <w:rPr>
          <w:rtl w:val="0"/>
        </w:rPr>
        <w:t xml:space="preserve">Factors associated with OA-NPWT use were evaluated using ridge-penalized logistic regression. Candidate predictors were preoperative lactate and C-reactive protein, SOFA, SAPS II, Mannheim Peritonitis Index, maximum intraoperative norepinephrine, second vasoconstrictor, inotrope use, blood loss, red-cell transfusion, other blood-component transfusion, operative duration, maximum intraoperative lactate, procedure category, and night/holiday surgery. Continuous predictors were standardized; penalization was selected by repeated cross-validation and uncertainty assessed by bootstrap resampling.</w:t>
      </w:r>
    </w:p>
    <w:p w:rsidR="00000000" w:rsidDel="00000000" w:rsidP="00000000" w:rsidRDefault="00000000" w:rsidRPr="00000000" w14:paraId="00000021">
      <w:pPr>
        <w:spacing w:line="480" w:lineRule="auto"/>
        <w:rPr/>
      </w:pPr>
      <w:r w:rsidDel="00000000" w:rsidR="00000000" w:rsidRPr="00000000">
        <w:rPr>
          <w:rtl w:val="0"/>
        </w:rPr>
        <w:t xml:space="preserve">Prespecified treatment-by-modifier interactions were evaluated for C-reactive protein, SOFA, Mannheim Peritonitis Index, maximum norepinephrine, second vasoconstrictor, operative duration, and maximum intraoperative lactate. Continuous modifiers were modeled with restricted cubic splines in the overlap-weighted population. Results were expressed as predicted risks under each strategy, RDs, 95% confidence intervals, and interaction P values. A ridge prognostic model using the same prespecified severity variables generated baseline mortality risk under primary closure. Treatment effects were examined across risk quartiles and by a continuous treatment-by-risk interaction. Bootstrap resampling assessed stability and optimism; no training/test split was used. </w:t>
      </w:r>
    </w:p>
    <w:p w:rsidR="00000000" w:rsidDel="00000000" w:rsidP="00000000" w:rsidRDefault="00000000" w:rsidRPr="00000000" w14:paraId="00000022">
      <w:pPr>
        <w:spacing w:line="480" w:lineRule="auto"/>
        <w:rPr/>
      </w:pPr>
      <w:r w:rsidDel="00000000" w:rsidR="00000000" w:rsidRPr="00000000">
        <w:rPr>
          <w:rtl w:val="0"/>
        </w:rPr>
        <w:t xml:space="preserve">Missing data were handled according to their role in the analysis and fully declared. To preserve the full contemporary cohort in the primary propensity score model, missing covariates were handled by multiple imputation using chained equations, generating 10 imputed datasets [</w:t>
      </w:r>
      <w:r w:rsidDel="00000000" w:rsidR="00000000" w:rsidRPr="00000000">
        <w:rPr>
          <w:rtl w:val="0"/>
        </w:rPr>
        <w:t xml:space="preserve">19</w:t>
      </w:r>
      <w:r w:rsidDel="00000000" w:rsidR="00000000" w:rsidRPr="00000000">
        <w:rPr>
          <w:rtl w:val="0"/>
        </w:rPr>
        <w:t xml:space="preserve">]. No imputation was performed for missing data on clinical outcomes or for other baseline variables not included in the primary propensity score; analyses of these variables were therefore based on available observations, with the corresponding denominators reported. To assess the potential impact of missing data on the main findings, a complete-case propensity score sensitivity analysis was performed.</w:t>
      </w:r>
    </w:p>
    <w:p w:rsidR="00000000" w:rsidDel="00000000" w:rsidP="00000000" w:rsidRDefault="00000000" w:rsidRPr="00000000" w14:paraId="00000023">
      <w:pPr>
        <w:spacing w:line="480" w:lineRule="auto"/>
        <w:rPr/>
      </w:pPr>
      <w:r w:rsidDel="00000000" w:rsidR="00000000" w:rsidRPr="00000000">
        <w:rPr>
          <w:rtl w:val="0"/>
        </w:rPr>
        <w:t xml:space="preserve">All tests were two-sided, with P&lt;0.05 considered statistically significant for the primary analysis. Analyses were performed using R version 4.5.2.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