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78D06" w14:textId="77777777" w:rsidR="000B4250" w:rsidRPr="00914DE8" w:rsidRDefault="000B4250" w:rsidP="000B4250">
      <w:pPr>
        <w:pStyle w:val="Heading1"/>
        <w:spacing w:before="12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Supplementary materials</w:t>
      </w:r>
    </w:p>
    <w:p w14:paraId="09C9CED6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Data S1. Core phenotype, filtered genotype, and 10-repeat 10-fold split files used for all analyses (ZIP).</w:t>
      </w:r>
    </w:p>
    <w:p w14:paraId="1E10AF4D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Data S2. GWAS/QTN evidence and visualization input files, including SNP allele metadata, continuous CMplot input, representative QQ input, and all-marker 100-fold GWAS summaries (ZIP).</w:t>
      </w:r>
    </w:p>
    <w:p w14:paraId="0121E25C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Data S3. Transcript functional annotations, GO term universe, KEGG pathway-gene universe, and parsed local KEGG HTML/KO mapping files used for functional interpretation (ZIP).</w:t>
      </w:r>
    </w:p>
    <w:p w14:paraId="0BF59E8B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Table S1. Core GWAS, heritability, SNP-substitution, model-preselection, and QC summaries (XLSX).</w:t>
      </w:r>
    </w:p>
    <w:p w14:paraId="68CFFA09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Table S2. QTN evidence, annotated candidate SNPs, UpSet counts, and evidence-weighted candidate transcript priority tables (XLSX).</w:t>
      </w:r>
    </w:p>
    <w:p w14:paraId="0DB811D0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Table S3. Elite-tree selection at representative and complete Top-N thresholds, common-benchmark genetic gain, selected individuals, and phenotype-BLUP/GS overlap summaries (XLSX).</w:t>
      </w:r>
    </w:p>
    <w:p w14:paraId="69900EF5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Table S4. GO enrichment, KEGG enrichment, KO annotations, and custom KEGG pathway-model input tables (XLSX).</w:t>
      </w:r>
    </w:p>
    <w:p w14:paraId="569AC843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Figure S1. GO and KEGG enrichment of QTN-tagged transcripts by GWAS-derived evidence class (ZIP).</w:t>
      </w:r>
    </w:p>
    <w:p w14:paraId="0B018477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Figure S2. Benchmark AC diagnostics across SNP densities, GS models, and marker-selection schemes (ZIP).</w:t>
      </w:r>
    </w:p>
    <w:p w14:paraId="54437FB4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Figure S3. Benchmark AIC diagnostics across SNP densities, GS models, and marker-selection schemes (ZIP).</w:t>
      </w:r>
    </w:p>
    <w:p w14:paraId="3C86F841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Figure S4. PVE-QTN strategy diagnostics for AC by trait (ZIP).</w:t>
      </w:r>
    </w:p>
    <w:p w14:paraId="20EEA39E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Figure S5. Recurrence-frequency QTN strategy diagnostics for AC by trait (ZIP).</w:t>
      </w:r>
    </w:p>
    <w:p w14:paraId="7E079B3E" w14:textId="77777777" w:rsidR="000B4250" w:rsidRPr="00914DE8" w:rsidRDefault="000B4250" w:rsidP="000B4250">
      <w:pPr>
        <w:spacing w:before="12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Figure S6. PVE-QTN strategy diagnostics for AIC by trait (ZIP).</w:t>
      </w:r>
    </w:p>
    <w:p w14:paraId="04DB983B" w14:textId="77777777" w:rsidR="000B4250" w:rsidRDefault="000B4250" w:rsidP="000B4250">
      <w:pPr>
        <w:spacing w:before="120"/>
        <w:jc w:val="both"/>
        <w:rPr>
          <w:rFonts w:cs="Times New Roman"/>
        </w:rPr>
      </w:pPr>
      <w:r>
        <w:rPr>
          <w:rFonts w:cs="Times New Roman"/>
        </w:rPr>
        <w:t>Figure S7. Recurrence-frequency QTN strategy diagnostics for AIC by trait (ZIP).</w:t>
      </w:r>
    </w:p>
    <w:p w14:paraId="38A0DB15" w14:textId="77777777" w:rsidR="00F553FF" w:rsidRDefault="00F553FF">
      <w:pPr>
        <w:spacing w:before="120"/>
      </w:pPr>
    </w:p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50"/>
    <w:rsid w:val="000B4250"/>
    <w:rsid w:val="003C2EF4"/>
    <w:rsid w:val="00446799"/>
    <w:rsid w:val="00471820"/>
    <w:rsid w:val="006A7E07"/>
    <w:rsid w:val="00701021"/>
    <w:rsid w:val="00866E40"/>
    <w:rsid w:val="00B44981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765D1"/>
  <w15:chartTrackingRefBased/>
  <w15:docId w15:val="{E09E6DC5-DEFD-4860-BFA7-62EC26AB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250"/>
    <w:pPr>
      <w:adjustRightInd w:val="0"/>
      <w:snapToGrid w:val="0"/>
      <w:spacing w:beforeLines="50" w:before="50" w:after="0" w:line="360" w:lineRule="auto"/>
    </w:pPr>
    <w:rPr>
      <w:rFonts w:ascii="Times New Roman" w:eastAsia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250"/>
    <w:pPr>
      <w:keepNext/>
      <w:keepLines/>
      <w:adjustRightInd/>
      <w:snapToGrid/>
      <w:spacing w:beforeLines="0"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250"/>
    <w:pPr>
      <w:keepNext/>
      <w:keepLines/>
      <w:adjustRightInd/>
      <w:snapToGrid/>
      <w:spacing w:beforeLines="0"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250"/>
    <w:pPr>
      <w:keepNext/>
      <w:keepLines/>
      <w:adjustRightInd/>
      <w:snapToGrid/>
      <w:spacing w:beforeLines="0"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250"/>
    <w:pPr>
      <w:keepNext/>
      <w:keepLines/>
      <w:adjustRightInd/>
      <w:snapToGrid/>
      <w:spacing w:beforeLines="0"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250"/>
    <w:pPr>
      <w:keepNext/>
      <w:keepLines/>
      <w:adjustRightInd/>
      <w:snapToGrid/>
      <w:spacing w:beforeLines="0"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250"/>
    <w:pPr>
      <w:keepNext/>
      <w:keepLines/>
      <w:adjustRightInd/>
      <w:snapToGrid/>
      <w:spacing w:beforeLines="0"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250"/>
    <w:pPr>
      <w:keepNext/>
      <w:keepLines/>
      <w:adjustRightInd/>
      <w:snapToGrid/>
      <w:spacing w:beforeLines="0"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250"/>
    <w:pPr>
      <w:keepNext/>
      <w:keepLines/>
      <w:adjustRightInd/>
      <w:snapToGrid/>
      <w:spacing w:beforeLines="0" w:before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250"/>
    <w:pPr>
      <w:keepNext/>
      <w:keepLines/>
      <w:adjustRightInd/>
      <w:snapToGrid/>
      <w:spacing w:beforeLines="0" w:before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2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2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2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2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2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2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2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2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2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250"/>
    <w:pPr>
      <w:adjustRightInd/>
      <w:snapToGrid/>
      <w:spacing w:beforeLines="0"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4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250"/>
    <w:pPr>
      <w:numPr>
        <w:ilvl w:val="1"/>
      </w:numPr>
      <w:adjustRightInd/>
      <w:snapToGrid/>
      <w:spacing w:beforeLines="0"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4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250"/>
    <w:pPr>
      <w:adjustRightInd/>
      <w:snapToGrid/>
      <w:spacing w:beforeLines="0"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42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250"/>
    <w:pPr>
      <w:adjustRightInd/>
      <w:snapToGrid/>
      <w:spacing w:beforeLines="0" w:before="0"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42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djustRightInd/>
      <w:snapToGrid/>
      <w:spacing w:beforeLines="0"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2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2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1369</Characters>
  <Application>Microsoft Office Word</Application>
  <DocSecurity>0</DocSecurity>
  <Lines>11</Lines>
  <Paragraphs>3</Paragraphs>
  <ScaleCrop>false</ScaleCrop>
  <Company>Springer Nature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2026-10-22T07:55:00Z</dcterms:created>
  <dcterms:modified xsi:type="dcterms:W3CDTF">2026-10-22T07:55:00Z</dcterms:modified>
</cp:coreProperties>
</file>